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62" w:rsidRPr="0071179F" w:rsidRDefault="00E60062">
      <w:pPr>
        <w:rPr>
          <w:b/>
        </w:rPr>
      </w:pPr>
      <w:bookmarkStart w:id="0" w:name="_GoBack"/>
      <w:bookmarkEnd w:id="0"/>
      <w:r w:rsidRPr="0071179F">
        <w:rPr>
          <w:b/>
        </w:rPr>
        <w:t>Анализ эффекта от повышения пенсионного возраста в модели с гетерогенными агентами и неформальной занятостью</w:t>
      </w:r>
    </w:p>
    <w:p w:rsidR="00E60062" w:rsidRDefault="006A0E7A">
      <w:r>
        <w:t>Даниелян В., Полтерович В.М,</w:t>
      </w:r>
    </w:p>
    <w:p w:rsidR="006A0E7A" w:rsidRPr="006A0E7A" w:rsidRDefault="006A0E7A">
      <w:r>
        <w:t>ЦЭМИ РАН</w:t>
      </w:r>
    </w:p>
    <w:p w:rsidR="006A0E7A" w:rsidRPr="005F6EF5" w:rsidRDefault="006A0E7A" w:rsidP="006A0E7A">
      <w:r w:rsidRPr="005F6EF5">
        <w:t>В 1980-2010 гг. многие страны Центральной и Восточной Европы, а также страны Латинской Америки ввели накопительные пенсионные системы, а затем полностью или частично отказались от них</w:t>
      </w:r>
      <w:r>
        <w:t>, см.</w:t>
      </w:r>
      <w:sdt>
        <w:sdtPr>
          <w:id w:val="1745140804"/>
          <w:citation/>
        </w:sdtPr>
        <w:sdtEndPr/>
        <w:sdtContent>
          <w:r w:rsidR="006E0755">
            <w:fldChar w:fldCharType="begin"/>
          </w:r>
          <w:r w:rsidRPr="0022035F">
            <w:instrText xml:space="preserve"> </w:instrText>
          </w:r>
          <w:r>
            <w:rPr>
              <w:lang w:val="en-US"/>
            </w:rPr>
            <w:instrText>CITATION</w:instrText>
          </w:r>
          <w:r w:rsidRPr="0022035F">
            <w:instrText xml:space="preserve"> </w:instrText>
          </w:r>
          <w:r>
            <w:rPr>
              <w:lang w:val="en-US"/>
            </w:rPr>
            <w:instrText>naczyk</w:instrText>
          </w:r>
          <w:r w:rsidRPr="0022035F">
            <w:instrText>2015</w:instrText>
          </w:r>
          <w:r>
            <w:rPr>
              <w:lang w:val="en-US"/>
            </w:rPr>
            <w:instrText>financial</w:instrText>
          </w:r>
          <w:r w:rsidRPr="0022035F">
            <w:instrText xml:space="preserve"> \</w:instrText>
          </w:r>
          <w:r>
            <w:rPr>
              <w:lang w:val="en-US"/>
            </w:rPr>
            <w:instrText>l</w:instrText>
          </w:r>
          <w:r w:rsidRPr="0022035F">
            <w:instrText xml:space="preserve"> 1033 </w:instrText>
          </w:r>
          <w:r w:rsidR="006E0755">
            <w:fldChar w:fldCharType="separate"/>
          </w:r>
          <w:r w:rsidR="00452671" w:rsidRPr="00452671">
            <w:rPr>
              <w:noProof/>
            </w:rPr>
            <w:t xml:space="preserve"> </w:t>
          </w:r>
          <w:r w:rsidR="00452671">
            <w:rPr>
              <w:noProof/>
              <w:lang w:val="en-US"/>
            </w:rPr>
            <w:t>(Naczyk, et al., 2015)</w:t>
          </w:r>
          <w:r w:rsidR="006E0755">
            <w:fldChar w:fldCharType="end"/>
          </w:r>
        </w:sdtContent>
      </w:sdt>
      <w:r>
        <w:t>,</w:t>
      </w:r>
      <w:sdt>
        <w:sdtPr>
          <w:id w:val="-1762989666"/>
          <w:citation/>
        </w:sdtPr>
        <w:sdtEndPr/>
        <w:sdtContent>
          <w:r w:rsidR="006E0755">
            <w:fldChar w:fldCharType="begin"/>
          </w:r>
          <w:r w:rsidRPr="0022035F">
            <w:instrText xml:space="preserve"> </w:instrText>
          </w:r>
          <w:r>
            <w:rPr>
              <w:lang w:val="en-US"/>
            </w:rPr>
            <w:instrText>CITATION</w:instrText>
          </w:r>
          <w:r w:rsidRPr="0022035F">
            <w:instrText xml:space="preserve"> </w:instrText>
          </w:r>
          <w:r>
            <w:rPr>
              <w:lang w:val="en-US"/>
            </w:rPr>
            <w:instrText>polterovich</w:instrText>
          </w:r>
          <w:r w:rsidRPr="0022035F">
            <w:instrText>2012</w:instrText>
          </w:r>
          <w:r>
            <w:rPr>
              <w:lang w:val="en-US"/>
            </w:rPr>
            <w:instrText>proekt</w:instrText>
          </w:r>
          <w:r w:rsidRPr="0022035F">
            <w:instrText xml:space="preserve"> \</w:instrText>
          </w:r>
          <w:r>
            <w:rPr>
              <w:lang w:val="en-US"/>
            </w:rPr>
            <w:instrText>l</w:instrText>
          </w:r>
          <w:r w:rsidRPr="0022035F">
            <w:instrText xml:space="preserve"> 1033 </w:instrText>
          </w:r>
          <w:r w:rsidR="006E0755">
            <w:fldChar w:fldCharType="separate"/>
          </w:r>
          <w:r w:rsidR="00452671">
            <w:rPr>
              <w:noProof/>
              <w:lang w:val="en-US"/>
            </w:rPr>
            <w:t xml:space="preserve"> (Полтерович, 2012)</w:t>
          </w:r>
          <w:r w:rsidR="006E0755">
            <w:fldChar w:fldCharType="end"/>
          </w:r>
        </w:sdtContent>
      </w:sdt>
      <w:r w:rsidRPr="005F6EF5">
        <w:t xml:space="preserve">. Схожая последовательность событий наблюдается и в России, где введенная в 2002 году смешанная пенсионная система претерпела впоследствии ряд изменений, приведших к ограничению накопительной составляющей. Таким образом, широко используемые методы реформирования оказались неудачными, не достигли поставленных целей и привели к высоким издержкам. Выявлению причин этого явления </w:t>
      </w:r>
      <w:r w:rsidR="00CA4B72">
        <w:t>был посвящен доклад (Даниелян, Полтерович, 2018)</w:t>
      </w:r>
      <w:r w:rsidRPr="005F6EF5">
        <w:t>.</w:t>
      </w:r>
      <w:r w:rsidR="00CA4B72">
        <w:t xml:space="preserve"> В настоящем докладе мы используем модификацию построенной  ранее модели</w:t>
      </w:r>
      <w:r w:rsidR="003A17EE">
        <w:t xml:space="preserve">, </w:t>
      </w:r>
      <w:r w:rsidR="005D5078">
        <w:t xml:space="preserve">учитывающую не только структурные, но и параметрические изменения пенсионных систем: повышение пенсионного возраста, повышение минимального требуемого стажа, изменения минимального размера пенсии и колебания доходности пенсионных накоплений. Также введена более детальная параметризация пенсионной системы, допускающая </w:t>
      </w:r>
      <w:r w:rsidR="000A6C79">
        <w:t xml:space="preserve">зависимость размера пенсии в традиционной системе от уровня дохода (выбор между </w:t>
      </w:r>
      <w:proofErr w:type="spellStart"/>
      <w:r w:rsidR="000A6C79">
        <w:t>Бисмаркианской</w:t>
      </w:r>
      <w:proofErr w:type="spellEnd"/>
      <w:r w:rsidR="000A6C79">
        <w:t xml:space="preserve"> и </w:t>
      </w:r>
      <w:proofErr w:type="spellStart"/>
      <w:r w:rsidR="000A6C79">
        <w:t>Бевериджианской</w:t>
      </w:r>
      <w:proofErr w:type="spellEnd"/>
      <w:r w:rsidR="000A6C79">
        <w:t xml:space="preserve"> типом пенсионной системы). Кроме того, учтена потребность уплаты налогов в формальном секторе</w:t>
      </w:r>
      <w:r w:rsidR="00CA4B72">
        <w:t xml:space="preserve">.  </w:t>
      </w:r>
    </w:p>
    <w:p w:rsidR="006A0E7A" w:rsidRDefault="006A0E7A" w:rsidP="006A0E7A">
      <w:r>
        <w:t>Одной из важных характеристик пенсионных реформ является уровень покрытия экономически активного населения пенсионной системой</w:t>
      </w:r>
      <w:r w:rsidR="00EC7C74">
        <w:t>,</w:t>
      </w:r>
      <w:r>
        <w:t xml:space="preserve"> то есть, доля активных плательщиков взносов. В большинстве упомянутых стран этот показатель уменьшился после введения накопительной составляющей, а после корректировки реформ восстановился или даже вырос. Снижение уровня покрытия означает, что часть налогоплательщиков «уходит в тень» и перестает платить пенсионные взносы. Вследствие этого в пенсионном фонде может возникнуть нехватка средств для выплаты пенсий, так что потребуются субсидии из бюджета, и индексация пенсий будет затруднена. Фактически реальная величина пенсии может уменьшиться, что вызовет дополнительный отток плательщиков. При этом, как показывают статистические данные, уровень покрытия меняется по-разному для разных доходных групп.</w:t>
      </w:r>
    </w:p>
    <w:p w:rsidR="006A0E7A" w:rsidRDefault="006A0E7A" w:rsidP="006A0E7A">
      <w:r>
        <w:t>Моделированию пенсионных реформ посвящено большое число работ с широким спектром применяемых подходов, см., например</w:t>
      </w:r>
      <w:sdt>
        <w:sdtPr>
          <w:id w:val="-933585879"/>
          <w:citation/>
        </w:sdtPr>
        <w:sdtEndPr/>
        <w:sdtContent>
          <w:r w:rsidR="006E0755">
            <w:fldChar w:fldCharType="begin"/>
          </w:r>
          <w:r>
            <w:instrText xml:space="preserve"> CITATION Бор07 \l 1049 </w:instrText>
          </w:r>
          <w:r w:rsidR="006E0755">
            <w:fldChar w:fldCharType="separate"/>
          </w:r>
          <w:r w:rsidR="00452671">
            <w:rPr>
              <w:noProof/>
            </w:rPr>
            <w:t xml:space="preserve"> (Борисов, и др., 2007)</w:t>
          </w:r>
          <w:r w:rsidR="006E0755">
            <w:fldChar w:fldCharType="end"/>
          </w:r>
        </w:sdtContent>
      </w:sdt>
      <w:r>
        <w:t xml:space="preserve">, </w:t>
      </w:r>
      <w:sdt>
        <w:sdtPr>
          <w:id w:val="1750157214"/>
          <w:citation/>
        </w:sdtPr>
        <w:sdtEndPr/>
        <w:sdtContent>
          <w:r w:rsidR="006E0755">
            <w:fldChar w:fldCharType="begin"/>
          </w:r>
          <w:r w:rsidRPr="0022035F">
            <w:instrText xml:space="preserve"> </w:instrText>
          </w:r>
          <w:r>
            <w:rPr>
              <w:lang w:val="en-US"/>
            </w:rPr>
            <w:instrText>CITATION</w:instrText>
          </w:r>
          <w:r w:rsidRPr="0022035F">
            <w:instrText xml:space="preserve"> </w:instrText>
          </w:r>
          <w:r>
            <w:rPr>
              <w:lang w:val="en-US"/>
            </w:rPr>
            <w:instrText>gustman</w:instrText>
          </w:r>
          <w:r w:rsidRPr="0022035F">
            <w:instrText>1986</w:instrText>
          </w:r>
          <w:r>
            <w:rPr>
              <w:lang w:val="en-US"/>
            </w:rPr>
            <w:instrText>structural</w:instrText>
          </w:r>
          <w:r w:rsidRPr="0022035F">
            <w:instrText xml:space="preserve"> \</w:instrText>
          </w:r>
          <w:r>
            <w:rPr>
              <w:lang w:val="en-US"/>
            </w:rPr>
            <w:instrText>l</w:instrText>
          </w:r>
          <w:r w:rsidRPr="0022035F">
            <w:instrText xml:space="preserve"> 1033 </w:instrText>
          </w:r>
          <w:r w:rsidR="006E0755">
            <w:fldChar w:fldCharType="separate"/>
          </w:r>
          <w:r w:rsidR="00452671" w:rsidRPr="00452671">
            <w:rPr>
              <w:noProof/>
            </w:rPr>
            <w:t>(</w:t>
          </w:r>
          <w:r w:rsidR="00452671">
            <w:rPr>
              <w:noProof/>
              <w:lang w:val="en-US"/>
            </w:rPr>
            <w:t>Gustman</w:t>
          </w:r>
          <w:r w:rsidR="00452671" w:rsidRPr="00452671">
            <w:rPr>
              <w:noProof/>
            </w:rPr>
            <w:t xml:space="preserve">, </w:t>
          </w:r>
          <w:r w:rsidR="00452671">
            <w:rPr>
              <w:noProof/>
              <w:lang w:val="en-US"/>
            </w:rPr>
            <w:t>et</w:t>
          </w:r>
          <w:r w:rsidR="00452671" w:rsidRPr="00452671">
            <w:rPr>
              <w:noProof/>
            </w:rPr>
            <w:t xml:space="preserve"> </w:t>
          </w:r>
          <w:r w:rsidR="00452671">
            <w:rPr>
              <w:noProof/>
              <w:lang w:val="en-US"/>
            </w:rPr>
            <w:t>al</w:t>
          </w:r>
          <w:r w:rsidR="00452671" w:rsidRPr="00452671">
            <w:rPr>
              <w:noProof/>
            </w:rPr>
            <w:t>., 1986)</w:t>
          </w:r>
          <w:r w:rsidR="006E0755">
            <w:fldChar w:fldCharType="end"/>
          </w:r>
        </w:sdtContent>
      </w:sdt>
      <w:r w:rsidRPr="0054568F">
        <w:t>,</w:t>
      </w:r>
      <w:sdt>
        <w:sdtPr>
          <w:id w:val="356476071"/>
          <w:citation/>
        </w:sdtPr>
        <w:sdtEndPr/>
        <w:sdtContent>
          <w:r w:rsidR="006E0755">
            <w:fldChar w:fldCharType="begin"/>
          </w:r>
          <w:r>
            <w:instrText xml:space="preserve">CITATION gurvitch2012micro \l 1033 </w:instrText>
          </w:r>
          <w:r w:rsidR="006E0755">
            <w:fldChar w:fldCharType="separate"/>
          </w:r>
          <w:r w:rsidR="00452671">
            <w:rPr>
              <w:noProof/>
            </w:rPr>
            <w:t xml:space="preserve"> (Гурвич, и др., 2012)</w:t>
          </w:r>
          <w:r w:rsidR="006E0755">
            <w:fldChar w:fldCharType="end"/>
          </w:r>
        </w:sdtContent>
      </w:sdt>
      <w:r w:rsidRPr="0054568F">
        <w:t>,</w:t>
      </w:r>
      <w:sdt>
        <w:sdtPr>
          <w:id w:val="1402567951"/>
          <w:citation/>
        </w:sdtPr>
        <w:sdtEndPr/>
        <w:sdtContent>
          <w:r w:rsidR="006E0755">
            <w:fldChar w:fldCharType="begin"/>
          </w:r>
          <w:r w:rsidRPr="0022035F">
            <w:instrText xml:space="preserve"> </w:instrText>
          </w:r>
          <w:r>
            <w:rPr>
              <w:lang w:val="en-US"/>
            </w:rPr>
            <w:instrText>CITATION</w:instrText>
          </w:r>
          <w:r w:rsidRPr="0022035F">
            <w:instrText xml:space="preserve"> </w:instrText>
          </w:r>
          <w:r>
            <w:rPr>
              <w:lang w:val="en-US"/>
            </w:rPr>
            <w:instrText>klepikova</w:instrText>
          </w:r>
          <w:r w:rsidRPr="0022035F">
            <w:instrText>2012</w:instrText>
          </w:r>
          <w:r>
            <w:rPr>
              <w:lang w:val="en-US"/>
            </w:rPr>
            <w:instrText>modelirovanie</w:instrText>
          </w:r>
          <w:r w:rsidRPr="0022035F">
            <w:instrText xml:space="preserve"> \</w:instrText>
          </w:r>
          <w:r>
            <w:rPr>
              <w:lang w:val="en-US"/>
            </w:rPr>
            <w:instrText>l</w:instrText>
          </w:r>
          <w:r w:rsidRPr="0022035F">
            <w:instrText xml:space="preserve"> 1033 </w:instrText>
          </w:r>
          <w:r w:rsidR="006E0755">
            <w:fldChar w:fldCharType="separate"/>
          </w:r>
          <w:r w:rsidR="00452671" w:rsidRPr="00452671">
            <w:rPr>
              <w:noProof/>
            </w:rPr>
            <w:t xml:space="preserve"> (Клепикова, 2013)</w:t>
          </w:r>
          <w:r w:rsidR="006E0755">
            <w:fldChar w:fldCharType="end"/>
          </w:r>
        </w:sdtContent>
      </w:sdt>
      <w:r>
        <w:t>, однако, известные нам работы не учитывают ни возможность ухода в тень, ни различия в поведении участников в зависимости от их дохода. Для того, чтобы отразить эти различия, мы предполагаем, что более состоятельные участники обладают большим плановым горизонтом</w:t>
      </w:r>
      <w:r w:rsidRPr="0054568F">
        <w:t xml:space="preserve">, </w:t>
      </w:r>
      <w:r>
        <w:t>см.</w:t>
      </w:r>
      <w:r w:rsidRPr="0054568F">
        <w:t xml:space="preserve"> </w:t>
      </w:r>
      <w:sdt>
        <w:sdtPr>
          <w:id w:val="-775178450"/>
          <w:citation/>
        </w:sdtPr>
        <w:sdtEndPr/>
        <w:sdtContent>
          <w:r w:rsidR="006E0755">
            <w:fldChar w:fldCharType="begin"/>
          </w:r>
          <w:r w:rsidRPr="0054568F">
            <w:instrText xml:space="preserve"> </w:instrText>
          </w:r>
          <w:r>
            <w:rPr>
              <w:lang w:val="en-US"/>
            </w:rPr>
            <w:instrText>CITATION</w:instrText>
          </w:r>
          <w:r w:rsidRPr="0054568F">
            <w:instrText xml:space="preserve"> </w:instrText>
          </w:r>
          <w:r>
            <w:rPr>
              <w:lang w:val="en-US"/>
            </w:rPr>
            <w:instrText>strulik</w:instrText>
          </w:r>
          <w:r w:rsidRPr="0054568F">
            <w:instrText>2012</w:instrText>
          </w:r>
          <w:r>
            <w:rPr>
              <w:lang w:val="en-US"/>
            </w:rPr>
            <w:instrText>patience</w:instrText>
          </w:r>
          <w:r w:rsidRPr="0054568F">
            <w:instrText xml:space="preserve"> \</w:instrText>
          </w:r>
          <w:r>
            <w:rPr>
              <w:lang w:val="en-US"/>
            </w:rPr>
            <w:instrText>l</w:instrText>
          </w:r>
          <w:r w:rsidRPr="0054568F">
            <w:instrText xml:space="preserve"> 1033 </w:instrText>
          </w:r>
          <w:r w:rsidR="006E0755">
            <w:fldChar w:fldCharType="separate"/>
          </w:r>
          <w:r w:rsidR="00452671" w:rsidRPr="006A4B37">
            <w:rPr>
              <w:noProof/>
            </w:rPr>
            <w:t>(</w:t>
          </w:r>
          <w:r w:rsidR="00452671">
            <w:rPr>
              <w:noProof/>
              <w:lang w:val="en-US"/>
            </w:rPr>
            <w:t>Strulik</w:t>
          </w:r>
          <w:r w:rsidR="00452671" w:rsidRPr="006A4B37">
            <w:rPr>
              <w:noProof/>
            </w:rPr>
            <w:t>, 2012)</w:t>
          </w:r>
          <w:r w:rsidR="006E0755">
            <w:fldChar w:fldCharType="end"/>
          </w:r>
        </w:sdtContent>
      </w:sdt>
      <w:r w:rsidRPr="0054568F">
        <w:t>.</w:t>
      </w:r>
    </w:p>
    <w:p w:rsidR="008262EF" w:rsidRDefault="008262EF" w:rsidP="006A0E7A">
      <w:r>
        <w:t xml:space="preserve">После калибровки модели мы используем </w:t>
      </w:r>
      <w:r w:rsidR="00022B61">
        <w:t>модель</w:t>
      </w:r>
      <w:r>
        <w:t xml:space="preserve"> для имитационного анализа влияния повышения пенсионного возраста на численность плательщиков взносов.</w:t>
      </w:r>
    </w:p>
    <w:p w:rsidR="006A0E7A" w:rsidRDefault="006A0E7A" w:rsidP="006A0E7A">
      <w:r w:rsidRPr="0008074D">
        <w:t xml:space="preserve">Модель </w:t>
      </w:r>
      <w:proofErr w:type="spellStart"/>
      <w:r w:rsidRPr="0008074D">
        <w:t>однопродуктовая</w:t>
      </w:r>
      <w:proofErr w:type="spellEnd"/>
      <w:r w:rsidRPr="0008074D">
        <w:t>, заработные платы и процентная ставка экзогенные, неопределенность отсутствует, время дискретно. Одновременно в модели присутствуют репрезентативные потребители возрастов a=0,1,…,T-1 и уровней дохода i=1,2, …, I</w:t>
      </w:r>
      <w:r w:rsidR="00EC7C74" w:rsidRPr="006A4B37">
        <w:t>.</w:t>
      </w:r>
      <w:r w:rsidRPr="0008074D">
        <w:t xml:space="preserve"> </w:t>
      </w:r>
      <w:r>
        <w:t xml:space="preserve">Алгоритм модели состоит в итеративном расчете траекторий модели. Целевой функцией в задаче потребителя в момент t является дисконтированная сумма денежных потоков. В каждый момент t трудоспособный работник решает задачу максимизации дисконтированного потока потребления при имеющемся бюджетном ограничении, выбирая стратегию, определяющую тип занятости (формальный либо теневой) и тип пенсионной системы (традиционная или смешанная).    Решения работников влияют на величину пенсионного пособия в текущем периоде (через доходы пенсионного фонда); </w:t>
      </w:r>
      <w:r>
        <w:lastRenderedPageBreak/>
        <w:t xml:space="preserve">эта величина становится известна работнику в момент </w:t>
      </w:r>
      <m:oMath>
        <m:r>
          <w:rPr>
            <w:rFonts w:ascii="Cambria Math" w:hAnsi="Cambria Math"/>
          </w:rPr>
          <m:t>t+1</m:t>
        </m:r>
      </m:oMath>
      <w:r>
        <w:t xml:space="preserve">, и в случае ее изменения, он снова решает оптимизационную задачу, выбирает стратегию на предстоящие периоды и т. д. В духе теории игр мы считаем, что равновесие достигается тогда, когда ни у одного из репрезентативных потребителей не появляется стимула отклониться от своей стратегии. </w:t>
      </w:r>
      <w:r w:rsidR="00563FF1">
        <w:t xml:space="preserve">Кроме того, </w:t>
      </w:r>
      <w:r w:rsidR="00EC7C74">
        <w:t xml:space="preserve">чтобы избежать сложных вычислений </w:t>
      </w:r>
      <w:r w:rsidR="00563FF1">
        <w:t xml:space="preserve">на текущем этапе работы мы накладываем ограничения на набор доступных работнику стратегий, </w:t>
      </w:r>
      <w:r w:rsidR="00EC7C74">
        <w:t>а именно ,</w:t>
      </w:r>
      <w:r w:rsidR="00563FF1">
        <w:t>мы рассматриваем только три стратегии: 1) участвовать в традиционной пенсионной системе; 2) перейти в смешанную пенсионную систему; 3) отказаться от участия в пенсионной системе (не платить взносов и не получать право на пенсию – занятость в теневом секторе).</w:t>
      </w:r>
    </w:p>
    <w:p w:rsidR="00563FF1" w:rsidRDefault="00563FF1" w:rsidP="006A0E7A">
      <w:r w:rsidRPr="00563FF1">
        <w:t xml:space="preserve">Мы настраиваем параметры нашей модели на случай пенсионной реформы Аргентины </w:t>
      </w:r>
      <w:r w:rsidR="006F41BF">
        <w:t>1994 г.</w:t>
      </w:r>
      <w:r w:rsidRPr="00563FF1">
        <w:t xml:space="preserve"> ввиду доступности для этого случая необходимых нам данных и сходства реформы с прошедшей в  России в 2002 г.</w:t>
      </w:r>
      <w:r>
        <w:t xml:space="preserve"> Используя данные о доле плательщиков взносов среди экономически активного населения в разбиении по 20%-м доходным группам (</w:t>
      </w:r>
      <w:proofErr w:type="spellStart"/>
      <w:r>
        <w:t>квинтили</w:t>
      </w:r>
      <w:proofErr w:type="spellEnd"/>
      <w:r>
        <w:t xml:space="preserve"> </w:t>
      </w:r>
      <w:r>
        <w:rPr>
          <w:lang w:val="en-US"/>
        </w:rPr>
        <w:t>Q</w:t>
      </w:r>
      <w:r w:rsidRPr="00563FF1">
        <w:t>1-</w:t>
      </w:r>
      <w:r>
        <w:rPr>
          <w:lang w:val="en-US"/>
        </w:rPr>
        <w:t>Q</w:t>
      </w:r>
      <w:r w:rsidRPr="00563FF1">
        <w:t xml:space="preserve">5, </w:t>
      </w:r>
      <w:r>
        <w:t xml:space="preserve">где </w:t>
      </w:r>
      <w:r>
        <w:rPr>
          <w:lang w:val="en-US"/>
        </w:rPr>
        <w:t>Q</w:t>
      </w:r>
      <w:r w:rsidRPr="00563FF1">
        <w:t xml:space="preserve">5 </w:t>
      </w:r>
      <w:r>
        <w:t>–</w:t>
      </w:r>
      <w:r w:rsidRPr="00563FF1">
        <w:t xml:space="preserve"> </w:t>
      </w:r>
      <w:r>
        <w:t xml:space="preserve">наиболее богатые) приведенную в </w:t>
      </w:r>
      <w:sdt>
        <w:sdtPr>
          <w:id w:val="1502007605"/>
          <w:citation/>
        </w:sdtPr>
        <w:sdtEndPr/>
        <w:sdtContent>
          <w:r w:rsidR="006E0755" w:rsidRPr="00EC4AB8">
            <w:fldChar w:fldCharType="begin"/>
          </w:r>
          <w:r w:rsidRPr="00EC4AB8">
            <w:instrText xml:space="preserve"> </w:instrText>
          </w:r>
          <w:r w:rsidRPr="00EC4AB8">
            <w:rPr>
              <w:lang w:val="en-US"/>
            </w:rPr>
            <w:instrText>CITATION</w:instrText>
          </w:r>
          <w:r w:rsidRPr="00EC4AB8">
            <w:instrText xml:space="preserve"> </w:instrText>
          </w:r>
          <w:r w:rsidRPr="00EC4AB8">
            <w:rPr>
              <w:lang w:val="en-US"/>
            </w:rPr>
            <w:instrText>rofman</w:instrText>
          </w:r>
          <w:r w:rsidRPr="00EC4AB8">
            <w:instrText>2014</w:instrText>
          </w:r>
          <w:r w:rsidRPr="00EC4AB8">
            <w:rPr>
              <w:lang w:val="en-US"/>
            </w:rPr>
            <w:instrText>beyond</w:instrText>
          </w:r>
          <w:r w:rsidRPr="00EC4AB8">
            <w:instrText xml:space="preserve"> \</w:instrText>
          </w:r>
          <w:r w:rsidRPr="00EC4AB8">
            <w:rPr>
              <w:lang w:val="en-US"/>
            </w:rPr>
            <w:instrText>l</w:instrText>
          </w:r>
          <w:r w:rsidRPr="00EC4AB8">
            <w:instrText xml:space="preserve"> 1033 </w:instrText>
          </w:r>
          <w:r w:rsidR="006E0755" w:rsidRPr="00EC4AB8">
            <w:fldChar w:fldCharType="separate"/>
          </w:r>
          <w:r w:rsidR="00452671" w:rsidRPr="00452671">
            <w:rPr>
              <w:noProof/>
            </w:rPr>
            <w:t>(</w:t>
          </w:r>
          <w:r w:rsidR="00452671">
            <w:rPr>
              <w:noProof/>
              <w:lang w:val="en-US"/>
            </w:rPr>
            <w:t>Rofman</w:t>
          </w:r>
          <w:r w:rsidR="00452671" w:rsidRPr="00452671">
            <w:rPr>
              <w:noProof/>
            </w:rPr>
            <w:t xml:space="preserve">, </w:t>
          </w:r>
          <w:r w:rsidR="00452671">
            <w:rPr>
              <w:noProof/>
              <w:lang w:val="en-US"/>
            </w:rPr>
            <w:t>et</w:t>
          </w:r>
          <w:r w:rsidR="00452671" w:rsidRPr="00452671">
            <w:rPr>
              <w:noProof/>
            </w:rPr>
            <w:t xml:space="preserve"> </w:t>
          </w:r>
          <w:r w:rsidR="00452671">
            <w:rPr>
              <w:noProof/>
              <w:lang w:val="en-US"/>
            </w:rPr>
            <w:t>al</w:t>
          </w:r>
          <w:r w:rsidR="00452671" w:rsidRPr="00452671">
            <w:rPr>
              <w:noProof/>
            </w:rPr>
            <w:t>., 2014)</w:t>
          </w:r>
          <w:r w:rsidR="006E0755" w:rsidRPr="00EC4AB8">
            <w:fldChar w:fldCharType="end"/>
          </w:r>
        </w:sdtContent>
      </w:sdt>
      <w:r w:rsidRPr="00563FF1">
        <w:t xml:space="preserve"> </w:t>
      </w:r>
      <w:r>
        <w:t xml:space="preserve">мы подбираем ненаблюдаемые ставки персонального дисконта будущих поступлений так, чтобы модельные траектории были близки к фактическим – при этом соблюдая </w:t>
      </w:r>
      <w:r w:rsidR="00EC7C74">
        <w:t xml:space="preserve">условие </w:t>
      </w:r>
      <w:proofErr w:type="spellStart"/>
      <w:r>
        <w:t>неубывани</w:t>
      </w:r>
      <w:r w:rsidR="00EC7C74">
        <w:t>я</w:t>
      </w:r>
      <w:proofErr w:type="spellEnd"/>
      <w:r>
        <w:t xml:space="preserve"> индивидуальной ставки дисконта по уровню дохода. Добившись приемлемого сходства модельных траекторий коэффициентов участия с</w:t>
      </w:r>
      <w:r w:rsidR="006F41BF">
        <w:t xml:space="preserve"> результатами рассматриваемой структурной реформы, мы переходим к численному эксперименту повышения пенсионного возраста и минимального требуемого стажа в модели.</w:t>
      </w:r>
    </w:p>
    <w:p w:rsidR="006F41BF" w:rsidRPr="006F41BF" w:rsidRDefault="006F41BF" w:rsidP="006F41BF">
      <w:pPr>
        <w:pStyle w:val="a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Вначале м</w:t>
      </w:r>
      <w:r w:rsidRPr="006F41BF">
        <w:rPr>
          <w:rFonts w:asciiTheme="minorHAnsi" w:hAnsiTheme="minorHAnsi"/>
          <w:sz w:val="22"/>
          <w:szCs w:val="22"/>
        </w:rPr>
        <w:t xml:space="preserve">ы увеличиваем </w:t>
      </w:r>
      <w:proofErr w:type="spellStart"/>
      <w:r w:rsidRPr="006F41BF">
        <w:rPr>
          <w:rFonts w:asciiTheme="minorHAnsi" w:hAnsiTheme="minorHAnsi"/>
          <w:sz w:val="22"/>
          <w:szCs w:val="22"/>
        </w:rPr>
        <w:t>пенсионн</w:t>
      </w:r>
      <w:r w:rsidR="00EC7C74">
        <w:rPr>
          <w:rFonts w:asciiTheme="minorHAnsi" w:hAnsiTheme="minorHAnsi"/>
          <w:sz w:val="22"/>
          <w:szCs w:val="22"/>
        </w:rPr>
        <w:t>ый</w:t>
      </w:r>
      <w:r w:rsidRPr="006F41BF">
        <w:rPr>
          <w:rFonts w:asciiTheme="minorHAnsi" w:hAnsiTheme="minorHAnsi"/>
          <w:sz w:val="22"/>
          <w:szCs w:val="22"/>
        </w:rPr>
        <w:t>о</w:t>
      </w:r>
      <w:proofErr w:type="spellEnd"/>
      <w:r w:rsidRPr="006F41BF">
        <w:rPr>
          <w:rFonts w:asciiTheme="minorHAnsi" w:hAnsiTheme="minorHAnsi"/>
          <w:sz w:val="22"/>
          <w:szCs w:val="22"/>
        </w:rPr>
        <w:t xml:space="preserve"> возраст на n=1,2,…, 5 лет и рассматриваем уровни участия, которые устанавливаются в равновесии с повышенным пенсионным возрастом. Результаты приведены в таблице </w:t>
      </w:r>
      <w:r w:rsidR="006E0755"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REF _Ref529736252 \h </w:instrText>
      </w:r>
      <w:r w:rsidR="006E0755">
        <w:rPr>
          <w:rFonts w:asciiTheme="minorHAnsi" w:hAnsiTheme="minorHAnsi"/>
          <w:sz w:val="22"/>
          <w:szCs w:val="22"/>
        </w:rPr>
      </w:r>
      <w:r w:rsidR="006E0755">
        <w:rPr>
          <w:rFonts w:asciiTheme="minorHAnsi" w:hAnsiTheme="minorHAnsi"/>
          <w:sz w:val="22"/>
          <w:szCs w:val="22"/>
        </w:rPr>
        <w:fldChar w:fldCharType="separate"/>
      </w:r>
      <w:r w:rsidR="00452671" w:rsidRPr="000A6C79">
        <w:rPr>
          <w:b/>
          <w:noProof/>
        </w:rPr>
        <w:t>1</w:t>
      </w:r>
      <w:r w:rsidR="006E0755">
        <w:rPr>
          <w:rFonts w:asciiTheme="minorHAnsi" w:hAnsiTheme="minorHAnsi"/>
          <w:sz w:val="22"/>
          <w:szCs w:val="22"/>
        </w:rPr>
        <w:fldChar w:fldCharType="end"/>
      </w:r>
      <w:r w:rsidRPr="006F41BF">
        <w:rPr>
          <w:rFonts w:asciiTheme="minorHAnsi" w:hAnsiTheme="minorHAnsi"/>
          <w:sz w:val="22"/>
          <w:szCs w:val="22"/>
        </w:rPr>
        <w:t xml:space="preserve">. Первая строка n=0 соответствует исходному равновесию. </w:t>
      </w:r>
      <w:r>
        <w:rPr>
          <w:rFonts w:asciiTheme="minorHAnsi" w:hAnsiTheme="minorHAnsi"/>
          <w:sz w:val="22"/>
          <w:szCs w:val="22"/>
        </w:rPr>
        <w:t xml:space="preserve">Значения в столбцах показывают </w:t>
      </w:r>
      <w:r w:rsidRPr="006F41BF">
        <w:rPr>
          <w:rFonts w:asciiTheme="minorHAnsi" w:hAnsiTheme="minorHAnsi"/>
          <w:sz w:val="22"/>
          <w:szCs w:val="22"/>
        </w:rPr>
        <w:t xml:space="preserve">уровень покрытия (отношение численности плательщиков к численности населения младше трудоспособного возраста) </w:t>
      </w:r>
      <w:r>
        <w:rPr>
          <w:rFonts w:asciiTheme="minorHAnsi" w:hAnsiTheme="minorHAnsi"/>
          <w:sz w:val="22"/>
          <w:szCs w:val="22"/>
        </w:rPr>
        <w:t>в разбиении по доходным группам (</w:t>
      </w:r>
      <w:proofErr w:type="spellStart"/>
      <w:r>
        <w:rPr>
          <w:rFonts w:asciiTheme="minorHAnsi" w:hAnsiTheme="minorHAnsi"/>
          <w:sz w:val="22"/>
          <w:szCs w:val="22"/>
        </w:rPr>
        <w:t>квитили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Q</w:t>
      </w:r>
      <w:r w:rsidRPr="006F41BF">
        <w:rPr>
          <w:rFonts w:asciiTheme="minorHAnsi" w:hAnsiTheme="minorHAnsi"/>
          <w:sz w:val="22"/>
          <w:szCs w:val="22"/>
        </w:rPr>
        <w:t>1-</w:t>
      </w:r>
      <w:r>
        <w:rPr>
          <w:rFonts w:asciiTheme="minorHAnsi" w:hAnsiTheme="minorHAnsi"/>
          <w:sz w:val="22"/>
          <w:szCs w:val="22"/>
          <w:lang w:val="en-US"/>
        </w:rPr>
        <w:t>Q</w:t>
      </w:r>
      <w:r w:rsidRPr="006F41BF">
        <w:rPr>
          <w:rFonts w:asciiTheme="minorHAnsi" w:hAnsiTheme="minorHAnsi"/>
          <w:sz w:val="22"/>
          <w:szCs w:val="22"/>
        </w:rPr>
        <w:t xml:space="preserve">5, </w:t>
      </w:r>
      <w:r>
        <w:rPr>
          <w:rFonts w:asciiTheme="minorHAnsi" w:hAnsiTheme="minorHAnsi"/>
          <w:sz w:val="22"/>
          <w:szCs w:val="22"/>
          <w:lang w:val="en-US"/>
        </w:rPr>
        <w:t>Q</w:t>
      </w:r>
      <w:r w:rsidRPr="006F41BF">
        <w:rPr>
          <w:rFonts w:asciiTheme="minorHAnsi" w:hAnsiTheme="minorHAnsi"/>
          <w:sz w:val="22"/>
          <w:szCs w:val="22"/>
        </w:rPr>
        <w:t xml:space="preserve">5 - </w:t>
      </w:r>
      <w:r>
        <w:rPr>
          <w:rFonts w:asciiTheme="minorHAnsi" w:hAnsiTheme="minorHAnsi"/>
          <w:sz w:val="22"/>
          <w:szCs w:val="22"/>
        </w:rPr>
        <w:t>богаты</w:t>
      </w:r>
      <w:r w:rsidR="00BA3E25">
        <w:rPr>
          <w:rFonts w:asciiTheme="minorHAnsi" w:hAnsiTheme="minorHAnsi"/>
          <w:sz w:val="22"/>
          <w:szCs w:val="22"/>
        </w:rPr>
        <w:t>е</w:t>
      </w:r>
      <w:r>
        <w:rPr>
          <w:rFonts w:asciiTheme="minorHAnsi" w:hAnsiTheme="minorHAnsi"/>
          <w:sz w:val="22"/>
          <w:szCs w:val="22"/>
        </w:rPr>
        <w:t>) и по населению в целом (столбец «Общий»).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336"/>
        <w:gridCol w:w="8044"/>
      </w:tblGrid>
      <w:tr w:rsidR="006F41BF" w:rsidTr="00617BAC">
        <w:tc>
          <w:tcPr>
            <w:tcW w:w="1075" w:type="dxa"/>
          </w:tcPr>
          <w:p w:rsidR="006F41BF" w:rsidRPr="001E68E4" w:rsidRDefault="006F41BF" w:rsidP="00617BAC">
            <w:pPr>
              <w:ind w:firstLine="0"/>
              <w:rPr>
                <w:b/>
              </w:rPr>
            </w:pPr>
            <w:r w:rsidRPr="001E68E4">
              <w:rPr>
                <w:b/>
              </w:rPr>
              <w:t>Таблица</w:t>
            </w:r>
          </w:p>
        </w:tc>
        <w:tc>
          <w:tcPr>
            <w:tcW w:w="236" w:type="dxa"/>
          </w:tcPr>
          <w:p w:rsidR="006F41BF" w:rsidRPr="001E68E4" w:rsidRDefault="006E0755" w:rsidP="00617BAC">
            <w:pPr>
              <w:ind w:firstLine="0"/>
              <w:rPr>
                <w:b/>
              </w:rPr>
            </w:pPr>
            <w:r w:rsidRPr="001E68E4">
              <w:rPr>
                <w:b/>
                <w:lang w:val="en-US"/>
              </w:rPr>
              <w:fldChar w:fldCharType="begin"/>
            </w:r>
            <w:r w:rsidR="006F41BF" w:rsidRPr="001E68E4">
              <w:rPr>
                <w:b/>
                <w:lang w:val="en-US"/>
              </w:rPr>
              <w:instrText xml:space="preserve"> SEQ Таблица \* ARABIC </w:instrText>
            </w:r>
            <w:r w:rsidRPr="001E68E4">
              <w:rPr>
                <w:b/>
                <w:lang w:val="en-US"/>
              </w:rPr>
              <w:fldChar w:fldCharType="separate"/>
            </w:r>
            <w:bookmarkStart w:id="1" w:name="_Ref529736252"/>
            <w:r w:rsidR="00452671">
              <w:rPr>
                <w:b/>
                <w:noProof/>
                <w:lang w:val="en-US"/>
              </w:rPr>
              <w:t>1</w:t>
            </w:r>
            <w:bookmarkEnd w:id="1"/>
            <w:r w:rsidRPr="001E68E4">
              <w:rPr>
                <w:b/>
                <w:lang w:val="en-US"/>
              </w:rPr>
              <w:fldChar w:fldCharType="end"/>
            </w:r>
          </w:p>
        </w:tc>
        <w:tc>
          <w:tcPr>
            <w:tcW w:w="8044" w:type="dxa"/>
          </w:tcPr>
          <w:p w:rsidR="006F41BF" w:rsidRPr="001E68E4" w:rsidRDefault="006F41BF" w:rsidP="00617BAC">
            <w:pPr>
              <w:ind w:firstLine="0"/>
            </w:pPr>
            <w:r w:rsidRPr="00095BBD">
              <w:t>Уровни участия при повышении пенсионного возраста на n=1,2,…,5 лет (n=0 — исходное состояние).</w:t>
            </w:r>
          </w:p>
        </w:tc>
      </w:tr>
    </w:tbl>
    <w:tbl>
      <w:tblPr>
        <w:tblStyle w:val="21"/>
        <w:tblW w:w="7142" w:type="dxa"/>
        <w:jc w:val="center"/>
        <w:tblLook w:val="04A0" w:firstRow="1" w:lastRow="0" w:firstColumn="1" w:lastColumn="0" w:noHBand="0" w:noVBand="1"/>
      </w:tblPr>
      <w:tblGrid>
        <w:gridCol w:w="1003"/>
        <w:gridCol w:w="973"/>
        <w:gridCol w:w="973"/>
        <w:gridCol w:w="972"/>
        <w:gridCol w:w="973"/>
        <w:gridCol w:w="973"/>
        <w:gridCol w:w="1275"/>
      </w:tblGrid>
      <w:tr w:rsidR="006F41BF" w:rsidTr="00617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vAlign w:val="center"/>
          </w:tcPr>
          <w:p w:rsidR="006F41BF" w:rsidRDefault="006F41BF" w:rsidP="00617BAC">
            <w:pPr>
              <w:jc w:val="center"/>
              <w:rPr>
                <w:b w:val="0"/>
                <w:bCs w:val="0"/>
              </w:rPr>
            </w:pPr>
            <w:r>
              <w:t>n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Q1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Q2</w:t>
            </w:r>
          </w:p>
        </w:tc>
        <w:tc>
          <w:tcPr>
            <w:tcW w:w="972" w:type="dxa"/>
            <w:vAlign w:val="center"/>
          </w:tcPr>
          <w:p w:rsidR="006F41BF" w:rsidRDefault="006F41BF" w:rsidP="00617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Q3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Q4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Q5</w:t>
            </w:r>
          </w:p>
        </w:tc>
        <w:tc>
          <w:tcPr>
            <w:tcW w:w="1275" w:type="dxa"/>
            <w:vAlign w:val="center"/>
          </w:tcPr>
          <w:p w:rsidR="006F41BF" w:rsidRDefault="006F41BF" w:rsidP="00617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Общий</w:t>
            </w:r>
          </w:p>
        </w:tc>
      </w:tr>
      <w:tr w:rsidR="006F41BF" w:rsidTr="0061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vAlign w:val="center"/>
          </w:tcPr>
          <w:p w:rsidR="006F41BF" w:rsidRDefault="006F41BF" w:rsidP="00617BAC">
            <w:pPr>
              <w:jc w:val="center"/>
            </w:pPr>
            <w:r>
              <w:t>0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0.2239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0.2273</w:t>
            </w:r>
          </w:p>
        </w:tc>
        <w:tc>
          <w:tcPr>
            <w:tcW w:w="972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0.4511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0.4545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0.4545</w:t>
            </w:r>
          </w:p>
        </w:tc>
        <w:tc>
          <w:tcPr>
            <w:tcW w:w="1275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0.3623</w:t>
            </w:r>
          </w:p>
        </w:tc>
      </w:tr>
      <w:tr w:rsidR="006F41BF" w:rsidTr="00617BAC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vAlign w:val="center"/>
          </w:tcPr>
          <w:p w:rsidR="006F41BF" w:rsidRDefault="006F41BF" w:rsidP="00617BAC">
            <w:pPr>
              <w:jc w:val="center"/>
            </w:pPr>
            <w:r>
              <w:t>1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0.2170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0.2204</w:t>
            </w:r>
          </w:p>
        </w:tc>
        <w:tc>
          <w:tcPr>
            <w:tcW w:w="972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0.4374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0.4407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0.4407</w:t>
            </w:r>
          </w:p>
        </w:tc>
        <w:tc>
          <w:tcPr>
            <w:tcW w:w="1275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0.3512</w:t>
            </w:r>
          </w:p>
        </w:tc>
      </w:tr>
      <w:tr w:rsidR="006F41BF" w:rsidTr="0061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vAlign w:val="center"/>
          </w:tcPr>
          <w:p w:rsidR="006F41BF" w:rsidRDefault="006F41BF" w:rsidP="00617BAC">
            <w:pPr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0.2104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0.2104</w:t>
            </w:r>
          </w:p>
        </w:tc>
        <w:tc>
          <w:tcPr>
            <w:tcW w:w="972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0.4273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0.4273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0.4273</w:t>
            </w:r>
          </w:p>
        </w:tc>
        <w:tc>
          <w:tcPr>
            <w:tcW w:w="1275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0.3405</w:t>
            </w:r>
          </w:p>
        </w:tc>
      </w:tr>
      <w:tr w:rsidR="006F41BF" w:rsidTr="00617BAC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vAlign w:val="center"/>
          </w:tcPr>
          <w:p w:rsidR="006F41BF" w:rsidRDefault="006F41BF" w:rsidP="00617BAC">
            <w:pPr>
              <w:jc w:val="center"/>
            </w:pPr>
            <w:r>
              <w:t>3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0.2039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0.2039</w:t>
            </w:r>
          </w:p>
        </w:tc>
        <w:tc>
          <w:tcPr>
            <w:tcW w:w="972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0.4143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0.4143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0.4143</w:t>
            </w:r>
          </w:p>
        </w:tc>
        <w:tc>
          <w:tcPr>
            <w:tcW w:w="1275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0.3302</w:t>
            </w:r>
          </w:p>
        </w:tc>
      </w:tr>
      <w:tr w:rsidR="006F41BF" w:rsidTr="0061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vAlign w:val="center"/>
          </w:tcPr>
          <w:p w:rsidR="006F41BF" w:rsidRDefault="006F41BF" w:rsidP="00617BAC">
            <w:pPr>
              <w:jc w:val="center"/>
            </w:pPr>
            <w:r>
              <w:t>4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0.1976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0.1976</w:t>
            </w:r>
          </w:p>
        </w:tc>
        <w:tc>
          <w:tcPr>
            <w:tcW w:w="972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0.4017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0.4017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0.4017</w:t>
            </w:r>
          </w:p>
        </w:tc>
        <w:tc>
          <w:tcPr>
            <w:tcW w:w="1275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0.3201</w:t>
            </w:r>
          </w:p>
        </w:tc>
      </w:tr>
      <w:tr w:rsidR="006F41BF" w:rsidTr="00617BAC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vAlign w:val="center"/>
          </w:tcPr>
          <w:p w:rsidR="006F41BF" w:rsidRDefault="006F41BF" w:rsidP="00617BAC">
            <w:pPr>
              <w:jc w:val="center"/>
            </w:pPr>
            <w:r>
              <w:t>5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0.1916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0.1916</w:t>
            </w:r>
          </w:p>
        </w:tc>
        <w:tc>
          <w:tcPr>
            <w:tcW w:w="972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0.3895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0.3895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0.3895</w:t>
            </w:r>
          </w:p>
        </w:tc>
        <w:tc>
          <w:tcPr>
            <w:tcW w:w="1275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0.3103</w:t>
            </w:r>
          </w:p>
        </w:tc>
      </w:tr>
    </w:tbl>
    <w:p w:rsidR="006F41BF" w:rsidRDefault="006F41BF" w:rsidP="006F41BF">
      <w:bookmarkStart w:id="2" w:name="__DdeLink__14313_1988569431"/>
      <w:bookmarkEnd w:id="2"/>
    </w:p>
    <w:p w:rsidR="00BA3E25" w:rsidRDefault="00BA3E25" w:rsidP="006F41BF"/>
    <w:p w:rsidR="00BA3E25" w:rsidRDefault="00BA3E25" w:rsidP="006F41B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336"/>
        <w:gridCol w:w="8044"/>
      </w:tblGrid>
      <w:tr w:rsidR="006F41BF" w:rsidTr="00617BAC">
        <w:tc>
          <w:tcPr>
            <w:tcW w:w="1075" w:type="dxa"/>
          </w:tcPr>
          <w:p w:rsidR="006F41BF" w:rsidRPr="001E68E4" w:rsidRDefault="006F41BF" w:rsidP="00617BAC">
            <w:pPr>
              <w:ind w:firstLine="0"/>
              <w:rPr>
                <w:b/>
              </w:rPr>
            </w:pPr>
            <w:r w:rsidRPr="001E68E4">
              <w:rPr>
                <w:b/>
              </w:rPr>
              <w:t>Таблица</w:t>
            </w:r>
          </w:p>
        </w:tc>
        <w:tc>
          <w:tcPr>
            <w:tcW w:w="236" w:type="dxa"/>
          </w:tcPr>
          <w:p w:rsidR="006F41BF" w:rsidRPr="001E68E4" w:rsidRDefault="006E0755" w:rsidP="00617BAC">
            <w:pPr>
              <w:ind w:firstLine="0"/>
              <w:rPr>
                <w:b/>
              </w:rPr>
            </w:pPr>
            <w:r w:rsidRPr="001E68E4">
              <w:rPr>
                <w:b/>
                <w:lang w:val="en-US"/>
              </w:rPr>
              <w:fldChar w:fldCharType="begin"/>
            </w:r>
            <w:r w:rsidR="006F41BF" w:rsidRPr="001E68E4">
              <w:rPr>
                <w:b/>
                <w:lang w:val="en-US"/>
              </w:rPr>
              <w:instrText xml:space="preserve"> SEQ Таблица \* ARABIC </w:instrText>
            </w:r>
            <w:r w:rsidRPr="001E68E4">
              <w:rPr>
                <w:b/>
                <w:lang w:val="en-US"/>
              </w:rPr>
              <w:fldChar w:fldCharType="separate"/>
            </w:r>
            <w:bookmarkStart w:id="3" w:name="_Ref529736265"/>
            <w:r w:rsidR="00452671">
              <w:rPr>
                <w:b/>
                <w:noProof/>
                <w:lang w:val="en-US"/>
              </w:rPr>
              <w:t>2</w:t>
            </w:r>
            <w:bookmarkEnd w:id="3"/>
            <w:r w:rsidRPr="001E68E4">
              <w:rPr>
                <w:b/>
                <w:lang w:val="en-US"/>
              </w:rPr>
              <w:fldChar w:fldCharType="end"/>
            </w:r>
          </w:p>
        </w:tc>
        <w:tc>
          <w:tcPr>
            <w:tcW w:w="8044" w:type="dxa"/>
          </w:tcPr>
          <w:p w:rsidR="006F41BF" w:rsidRPr="001E68E4" w:rsidRDefault="006F41BF" w:rsidP="00617BAC">
            <w:pPr>
              <w:ind w:firstLine="0"/>
            </w:pPr>
            <w:r w:rsidRPr="00C836DF">
              <w:t>Уровни участия при повышении пенсионного возраста и минимального стажа на n=1,2,…,5 лет (n=0 — исходное состояние).</w:t>
            </w:r>
          </w:p>
        </w:tc>
      </w:tr>
    </w:tbl>
    <w:tbl>
      <w:tblPr>
        <w:tblStyle w:val="21"/>
        <w:tblW w:w="7142" w:type="dxa"/>
        <w:jc w:val="center"/>
        <w:tblLook w:val="04A0" w:firstRow="1" w:lastRow="0" w:firstColumn="1" w:lastColumn="0" w:noHBand="0" w:noVBand="1"/>
      </w:tblPr>
      <w:tblGrid>
        <w:gridCol w:w="1003"/>
        <w:gridCol w:w="973"/>
        <w:gridCol w:w="973"/>
        <w:gridCol w:w="972"/>
        <w:gridCol w:w="973"/>
        <w:gridCol w:w="973"/>
        <w:gridCol w:w="1275"/>
      </w:tblGrid>
      <w:tr w:rsidR="006F41BF" w:rsidTr="00617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vAlign w:val="center"/>
          </w:tcPr>
          <w:p w:rsidR="006F41BF" w:rsidRDefault="006F41BF" w:rsidP="00617BAC">
            <w:pPr>
              <w:jc w:val="center"/>
              <w:rPr>
                <w:b w:val="0"/>
                <w:bCs w:val="0"/>
              </w:rPr>
            </w:pPr>
            <w:r>
              <w:t>n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Q1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Q2</w:t>
            </w:r>
          </w:p>
        </w:tc>
        <w:tc>
          <w:tcPr>
            <w:tcW w:w="972" w:type="dxa"/>
            <w:vAlign w:val="center"/>
          </w:tcPr>
          <w:p w:rsidR="006F41BF" w:rsidRDefault="006F41BF" w:rsidP="00617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Q3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Q4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Q5</w:t>
            </w:r>
          </w:p>
        </w:tc>
        <w:tc>
          <w:tcPr>
            <w:tcW w:w="1275" w:type="dxa"/>
            <w:vAlign w:val="center"/>
          </w:tcPr>
          <w:p w:rsidR="006F41BF" w:rsidRDefault="006F41BF" w:rsidP="00617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Общий</w:t>
            </w:r>
          </w:p>
        </w:tc>
      </w:tr>
      <w:tr w:rsidR="006F41BF" w:rsidTr="0061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vAlign w:val="center"/>
          </w:tcPr>
          <w:p w:rsidR="006F41BF" w:rsidRDefault="006F41BF" w:rsidP="00617BAC">
            <w:pPr>
              <w:jc w:val="center"/>
            </w:pPr>
            <w:r>
              <w:t>0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0.2239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0.2273</w:t>
            </w:r>
          </w:p>
        </w:tc>
        <w:tc>
          <w:tcPr>
            <w:tcW w:w="972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0.4511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0.4545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0.4545</w:t>
            </w:r>
          </w:p>
        </w:tc>
        <w:tc>
          <w:tcPr>
            <w:tcW w:w="1275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0.3623</w:t>
            </w:r>
          </w:p>
        </w:tc>
      </w:tr>
      <w:tr w:rsidR="006F41BF" w:rsidTr="00617BAC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vAlign w:val="center"/>
          </w:tcPr>
          <w:p w:rsidR="006F41BF" w:rsidRDefault="006F41BF" w:rsidP="00617BAC">
            <w:pPr>
              <w:jc w:val="center"/>
            </w:pPr>
            <w:r>
              <w:t>1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0.2260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0.2260</w:t>
            </w:r>
          </w:p>
        </w:tc>
        <w:tc>
          <w:tcPr>
            <w:tcW w:w="972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0.4586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0.4653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0.4653</w:t>
            </w:r>
          </w:p>
        </w:tc>
        <w:tc>
          <w:tcPr>
            <w:tcW w:w="1275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0.3682</w:t>
            </w:r>
          </w:p>
        </w:tc>
      </w:tr>
      <w:tr w:rsidR="006F41BF" w:rsidTr="0061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vAlign w:val="center"/>
          </w:tcPr>
          <w:p w:rsidR="006F41BF" w:rsidRDefault="006F41BF" w:rsidP="00617BAC">
            <w:pPr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0.2280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0.2280</w:t>
            </w:r>
          </w:p>
        </w:tc>
        <w:tc>
          <w:tcPr>
            <w:tcW w:w="972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0.4692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0.4758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0.4758</w:t>
            </w:r>
          </w:p>
        </w:tc>
        <w:tc>
          <w:tcPr>
            <w:tcW w:w="1275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0.3753</w:t>
            </w:r>
          </w:p>
        </w:tc>
      </w:tr>
      <w:tr w:rsidR="006F41BF" w:rsidTr="00617BAC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vAlign w:val="center"/>
          </w:tcPr>
          <w:p w:rsidR="006F41BF" w:rsidRDefault="006F41BF" w:rsidP="00617BAC">
            <w:pPr>
              <w:jc w:val="center"/>
            </w:pPr>
            <w:r>
              <w:t>3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0.2278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0.2234</w:t>
            </w:r>
          </w:p>
        </w:tc>
        <w:tc>
          <w:tcPr>
            <w:tcW w:w="972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0.4859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0.4859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0.4859</w:t>
            </w:r>
          </w:p>
        </w:tc>
        <w:tc>
          <w:tcPr>
            <w:tcW w:w="1275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0.3818</w:t>
            </w:r>
          </w:p>
        </w:tc>
      </w:tr>
      <w:tr w:rsidR="006F41BF" w:rsidTr="0061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vAlign w:val="center"/>
          </w:tcPr>
          <w:p w:rsidR="006F41BF" w:rsidRDefault="006F41BF" w:rsidP="00617BAC">
            <w:pPr>
              <w:jc w:val="center"/>
            </w:pPr>
            <w:r>
              <w:t>4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0.2276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0.0000</w:t>
            </w:r>
          </w:p>
        </w:tc>
        <w:tc>
          <w:tcPr>
            <w:tcW w:w="972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0.4957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0.4957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0.4957</w:t>
            </w:r>
          </w:p>
        </w:tc>
        <w:tc>
          <w:tcPr>
            <w:tcW w:w="1275" w:type="dxa"/>
            <w:vAlign w:val="center"/>
          </w:tcPr>
          <w:p w:rsidR="006F41BF" w:rsidRDefault="006F41BF" w:rsidP="00617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0.3429</w:t>
            </w:r>
          </w:p>
        </w:tc>
      </w:tr>
      <w:tr w:rsidR="006F41BF" w:rsidTr="00617BAC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vAlign w:val="center"/>
          </w:tcPr>
          <w:p w:rsidR="006F41BF" w:rsidRDefault="006F41BF" w:rsidP="00617BAC">
            <w:pPr>
              <w:jc w:val="center"/>
            </w:pPr>
            <w:r>
              <w:t>5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0.0000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0.0000</w:t>
            </w:r>
          </w:p>
        </w:tc>
        <w:tc>
          <w:tcPr>
            <w:tcW w:w="972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0.5053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0.5053</w:t>
            </w:r>
          </w:p>
        </w:tc>
        <w:tc>
          <w:tcPr>
            <w:tcW w:w="973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0.5053</w:t>
            </w:r>
          </w:p>
        </w:tc>
        <w:tc>
          <w:tcPr>
            <w:tcW w:w="1275" w:type="dxa"/>
            <w:vAlign w:val="center"/>
          </w:tcPr>
          <w:p w:rsidR="006F41BF" w:rsidRDefault="006F41BF" w:rsidP="00617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0.3032</w:t>
            </w:r>
          </w:p>
        </w:tc>
      </w:tr>
    </w:tbl>
    <w:p w:rsidR="006F41BF" w:rsidRPr="00142478" w:rsidRDefault="006F41BF" w:rsidP="006F41BF">
      <w:pPr>
        <w:pStyle w:val="a4"/>
        <w:ind w:firstLine="0"/>
      </w:pPr>
    </w:p>
    <w:p w:rsidR="006F41BF" w:rsidRDefault="006F41BF" w:rsidP="006F41BF">
      <w:r>
        <w:lastRenderedPageBreak/>
        <w:t xml:space="preserve">Как видно из таблицы </w:t>
      </w:r>
      <w:r w:rsidR="006E0755">
        <w:fldChar w:fldCharType="begin"/>
      </w:r>
      <w:r>
        <w:instrText xml:space="preserve"> REF _Ref529736252 \h </w:instrText>
      </w:r>
      <w:r w:rsidR="006E0755">
        <w:fldChar w:fldCharType="separate"/>
      </w:r>
      <w:r w:rsidR="00452671" w:rsidRPr="00452671">
        <w:rPr>
          <w:b/>
          <w:noProof/>
        </w:rPr>
        <w:t>1</w:t>
      </w:r>
      <w:r w:rsidR="006E0755">
        <w:fldChar w:fldCharType="end"/>
      </w:r>
      <w:r>
        <w:t xml:space="preserve">, повышение пенсионного возраста на 1-5 лет приводит в модели к снижению уровня участия во всех доходных </w:t>
      </w:r>
      <w:proofErr w:type="spellStart"/>
      <w:r>
        <w:t>квинтилях</w:t>
      </w:r>
      <w:proofErr w:type="spellEnd"/>
      <w:r>
        <w:t xml:space="preserve"> Q1-Q5 (см. Табл. </w:t>
      </w:r>
      <w:r w:rsidR="006E0755">
        <w:fldChar w:fldCharType="begin"/>
      </w:r>
      <w:r>
        <w:instrText xml:space="preserve"> REF _Ref529736252 \h </w:instrText>
      </w:r>
      <w:r w:rsidR="006E0755">
        <w:fldChar w:fldCharType="separate"/>
      </w:r>
      <w:r w:rsidR="00452671" w:rsidRPr="000A6C79">
        <w:rPr>
          <w:b/>
          <w:noProof/>
        </w:rPr>
        <w:t>1</w:t>
      </w:r>
      <w:r w:rsidR="006E0755">
        <w:fldChar w:fldCharType="end"/>
      </w:r>
      <w:r>
        <w:t>).  Объяснить эту динамику можно тем, что повышение пенсионного возраста ведет к снижению количества лет получения пенсии при неизменной длительности участия в пенсионной системе (минимальный требуемый стаж), делая участие в пенсионной системе менее привлекательным. Этот эффект мог бы быть компенсирован ростом уровня пенсии, достигаемым благодаря снижению фискальной нагрузки на пенсионный фонд в новом равновесии – однако, при имеющихся параметрах этот рост не компенсирует сократившуюся продолжительность получения пособий; итоговый эффект отрицательный – уровень участия снижается.</w:t>
      </w:r>
    </w:p>
    <w:p w:rsidR="006F41BF" w:rsidRDefault="006F41BF" w:rsidP="006F41BF">
      <w:r>
        <w:t>Далее мы несколько меняем постановку эксперимента, увеличивая не только пенсионный возраст, но и минимальный стаж, требуемый для получения права на пенсию; результаты</w:t>
      </w:r>
      <w:r w:rsidR="00BA3E25">
        <w:t>,</w:t>
      </w:r>
      <w:r>
        <w:t xml:space="preserve"> </w:t>
      </w:r>
      <w:proofErr w:type="gramStart"/>
      <w:r w:rsidR="00BA3E25">
        <w:t xml:space="preserve">приведенные </w:t>
      </w:r>
      <w:r>
        <w:t xml:space="preserve"> в</w:t>
      </w:r>
      <w:proofErr w:type="gramEnd"/>
      <w:r>
        <w:t xml:space="preserve"> </w:t>
      </w:r>
      <w:r w:rsidRPr="006F41BF">
        <w:t xml:space="preserve">Таблице </w:t>
      </w:r>
      <w:r w:rsidR="006E0755">
        <w:fldChar w:fldCharType="begin"/>
      </w:r>
      <w:r>
        <w:instrText xml:space="preserve"> REF _Ref529736265 \h </w:instrText>
      </w:r>
      <w:r w:rsidR="006E0755">
        <w:fldChar w:fldCharType="separate"/>
      </w:r>
      <w:r w:rsidR="00452671" w:rsidRPr="00452671">
        <w:rPr>
          <w:b/>
          <w:noProof/>
        </w:rPr>
        <w:t>2</w:t>
      </w:r>
      <w:r w:rsidR="006E0755">
        <w:fldChar w:fldCharType="end"/>
      </w:r>
      <w:r w:rsidR="00BA3E25">
        <w:t xml:space="preserve">, </w:t>
      </w:r>
      <w:r>
        <w:t>по сравнению с прежним</w:t>
      </w:r>
      <w:r w:rsidR="00BA3E25">
        <w:t xml:space="preserve"> экспериментом </w:t>
      </w:r>
      <w:r>
        <w:t xml:space="preserve"> дают менее однозначную картину</w:t>
      </w:r>
      <w:r w:rsidRPr="006F41BF">
        <w:t>.</w:t>
      </w:r>
      <w:r>
        <w:t xml:space="preserve"> С одной стороны, действует логика, описанная выше, приводящая к снижению уровня участия в группах работников. С другой стороны, повышение минимального требуемого </w:t>
      </w:r>
      <w:r w:rsidR="00BA3E25">
        <w:t xml:space="preserve">стажа  вынуждает </w:t>
      </w:r>
      <w:r>
        <w:t xml:space="preserve"> желающих получать пенсии дольше платить взносы, что </w:t>
      </w:r>
      <w:r w:rsidR="00BA3E25">
        <w:t xml:space="preserve">положительно влияет на </w:t>
      </w:r>
      <w:r>
        <w:t>численность плательщиков</w:t>
      </w:r>
      <w:r w:rsidR="00BA3E25">
        <w:t>.</w:t>
      </w:r>
      <w:r>
        <w:t xml:space="preserve"> Взаимное действие этих эффектов может объяснить переменную динамику равновесных уровней участия в </w:t>
      </w:r>
      <w:r>
        <w:rPr>
          <w:lang w:val="en-US"/>
        </w:rPr>
        <w:t>Q</w:t>
      </w:r>
      <w:r w:rsidRPr="006D7F6B">
        <w:t>1-</w:t>
      </w:r>
      <w:r>
        <w:rPr>
          <w:lang w:val="en-US"/>
        </w:rPr>
        <w:t>Q</w:t>
      </w:r>
      <w:r w:rsidRPr="006D7F6B">
        <w:t>2</w:t>
      </w:r>
      <w:r>
        <w:t xml:space="preserve"> при увеличении </w:t>
      </w:r>
      <w:r>
        <w:rPr>
          <w:lang w:val="en-US"/>
        </w:rPr>
        <w:t>n</w:t>
      </w:r>
      <w:r w:rsidRPr="006D7F6B">
        <w:t xml:space="preserve"> </w:t>
      </w:r>
      <w:r>
        <w:t xml:space="preserve">от 1 до 5 (см. Табл. </w:t>
      </w:r>
      <w:r w:rsidR="006E0755">
        <w:fldChar w:fldCharType="begin"/>
      </w:r>
      <w:r>
        <w:instrText xml:space="preserve"> REF _Ref529736265 \h </w:instrText>
      </w:r>
      <w:r w:rsidR="006E0755">
        <w:fldChar w:fldCharType="separate"/>
      </w:r>
      <w:r w:rsidR="00452671" w:rsidRPr="006A4B37">
        <w:rPr>
          <w:b/>
          <w:noProof/>
        </w:rPr>
        <w:t>2</w:t>
      </w:r>
      <w:r w:rsidR="006E0755">
        <w:fldChar w:fldCharType="end"/>
      </w:r>
      <w:r>
        <w:t>).</w:t>
      </w:r>
      <w:r w:rsidRPr="006D7F6B">
        <w:t xml:space="preserve"> </w:t>
      </w:r>
      <w:r>
        <w:t xml:space="preserve"> Впрочем, модель не показывает таких колебаний для групп работников с более высоким доходом </w:t>
      </w:r>
      <w:r>
        <w:rPr>
          <w:lang w:val="en-US"/>
        </w:rPr>
        <w:t>Q</w:t>
      </w:r>
      <w:r w:rsidRPr="006D7F6B">
        <w:t>3-</w:t>
      </w:r>
      <w:r>
        <w:rPr>
          <w:lang w:val="en-US"/>
        </w:rPr>
        <w:t>Q</w:t>
      </w:r>
      <w:r w:rsidRPr="006D7F6B">
        <w:t>5</w:t>
      </w:r>
      <w:r>
        <w:t xml:space="preserve">, чему может быть несколько причин. Во-первых, это более высокая субъективная ценность будущих поступлений работников с более высоким доходом, выраженная в более низких ставках дисконта, полученных в результате калибровки. Во-вторых, при достаточно сильном повышении </w:t>
      </w:r>
      <w:r w:rsidR="002F46AC">
        <w:t xml:space="preserve">минимального стажа </w:t>
      </w:r>
      <w:r>
        <w:t>работники с низким доходом перестают участвовать в пенсионной системе</w:t>
      </w:r>
      <w:r w:rsidR="002F46AC">
        <w:t>, поэтому</w:t>
      </w:r>
      <w:r>
        <w:t xml:space="preserve"> степень уравнительности системы снижается, делая участие более привлекательным для работников с высоким доходом. Однако, несмотря на это, общий уровень участия снижается с уходом из системы низкодоходных работников (см. последний столбец Табл. </w:t>
      </w:r>
      <w:r w:rsidR="006E0755">
        <w:fldChar w:fldCharType="begin"/>
      </w:r>
      <w:r>
        <w:instrText xml:space="preserve"> REF _Ref529736265 \h </w:instrText>
      </w:r>
      <w:r w:rsidR="006E0755">
        <w:fldChar w:fldCharType="separate"/>
      </w:r>
      <w:r w:rsidR="00452671" w:rsidRPr="000A6C79">
        <w:rPr>
          <w:b/>
          <w:noProof/>
        </w:rPr>
        <w:t>2</w:t>
      </w:r>
      <w:r w:rsidR="006E0755">
        <w:fldChar w:fldCharType="end"/>
      </w:r>
      <w:r>
        <w:t xml:space="preserve"> при </w:t>
      </w:r>
      <w:proofErr w:type="gramStart"/>
      <w:r>
        <w:rPr>
          <w:lang w:val="en-US"/>
        </w:rPr>
        <w:t>n</w:t>
      </w:r>
      <w:r w:rsidRPr="0021728B">
        <w:t xml:space="preserve"> &gt;</w:t>
      </w:r>
      <w:proofErr w:type="gramEnd"/>
      <w:r w:rsidRPr="0021728B">
        <w:t xml:space="preserve"> 3).</w:t>
      </w:r>
      <w:r>
        <w:t xml:space="preserve"> Не затрагивая в данной работе вопрос</w:t>
      </w:r>
      <w:r w:rsidR="002F46AC">
        <w:t xml:space="preserve">а </w:t>
      </w:r>
      <w:r>
        <w:t>о</w:t>
      </w:r>
      <w:r w:rsidR="002F46AC">
        <w:t>б</w:t>
      </w:r>
      <w:r>
        <w:t xml:space="preserve"> </w:t>
      </w:r>
      <w:r w:rsidR="002F46AC">
        <w:t>изменении</w:t>
      </w:r>
      <w:r w:rsidR="000A6C79">
        <w:t xml:space="preserve"> </w:t>
      </w:r>
      <w:r>
        <w:t xml:space="preserve">совокупного общественного благосостояние при рассмотренной реформе, отметим, что полученный результат свидетельствует о возможном существовании оптимального </w:t>
      </w:r>
      <w:r w:rsidR="002F46AC">
        <w:t xml:space="preserve">  уровня минимального стажа </w:t>
      </w:r>
      <w:r>
        <w:t>с точки зрения увеличения численности плательщиков</w:t>
      </w:r>
      <w:r w:rsidR="002F46AC">
        <w:t>.</w:t>
      </w:r>
      <w:r>
        <w:t xml:space="preserve">  Чрезмерное увеличение пенсионного возраста и минимального стажа в таком случае приводит к обратному эффекту.</w:t>
      </w:r>
    </w:p>
    <w:p w:rsidR="002B08D3" w:rsidRPr="00563FF1" w:rsidRDefault="002B08D3" w:rsidP="006F41BF">
      <w:r>
        <w:t xml:space="preserve">В последующей работе мы планируем </w:t>
      </w:r>
      <w:r w:rsidR="00312295">
        <w:t xml:space="preserve">избавиться от ограничений на выбор стратегии агентами  и </w:t>
      </w:r>
      <w:r>
        <w:t>адаптировать модель к случаю экономики РФ (данные демографии, распределения доходов и проч.) для оценки возможных последствий пенсионных реформ в России.</w:t>
      </w:r>
    </w:p>
    <w:p w:rsidR="00563FF1" w:rsidRDefault="00563FF1" w:rsidP="006A0E7A"/>
    <w:p w:rsidR="006A4B37" w:rsidRPr="006A4B37" w:rsidRDefault="006A4B37">
      <w:pPr>
        <w:rPr>
          <w:b/>
        </w:rPr>
      </w:pPr>
      <w:r w:rsidRPr="006A4B37">
        <w:rPr>
          <w:b/>
        </w:rPr>
        <w:t>Ссылки</w:t>
      </w:r>
    </w:p>
    <w:p w:rsidR="006A4B37" w:rsidRDefault="006A4B37" w:rsidP="006A4B37">
      <w:r>
        <w:t>Борисов К. Ю. и Сурков А. В. Модель перекрывающихся поколений с двусторонним альтруизмом [Журнал]. - Санкт-</w:t>
      </w:r>
      <w:proofErr w:type="gramStart"/>
      <w:r>
        <w:t>Петербург :</w:t>
      </w:r>
      <w:proofErr w:type="gramEnd"/>
      <w:r>
        <w:t xml:space="preserve"> Экономико-математические исследования: математические модели и информационные технологии, 2007 г.. - Т. VI.</w:t>
      </w:r>
    </w:p>
    <w:p w:rsidR="006A4B37" w:rsidRDefault="006A4B37" w:rsidP="006A4B37">
      <w:r>
        <w:t>Гурвич Е. и Сонина Ю. Микроанализ российской пенсионной системы [Журнал] // Вопросы экономики. - 2012 г.. - стр. 27-51.</w:t>
      </w:r>
    </w:p>
    <w:p w:rsidR="006A4B37" w:rsidRDefault="006A4B37" w:rsidP="006A4B37">
      <w:r>
        <w:t xml:space="preserve">Даниелян В.А., Полтерович В.М. Моделирование пенсионной реформы с учетом неформальной занятости и гетерогенности </w:t>
      </w:r>
      <w:proofErr w:type="spellStart"/>
      <w:r>
        <w:t>участников.Доклад</w:t>
      </w:r>
      <w:proofErr w:type="spellEnd"/>
      <w:r>
        <w:t xml:space="preserve"> на XIX   Апрельской </w:t>
      </w:r>
      <w:proofErr w:type="gramStart"/>
      <w:r>
        <w:t>конференции,  2018</w:t>
      </w:r>
      <w:proofErr w:type="gramEnd"/>
    </w:p>
    <w:p w:rsidR="006A4B37" w:rsidRDefault="006A4B37" w:rsidP="006A4B37">
      <w:r>
        <w:t>Клепикова Е. А. Моделирование предложения труда российских граждан пенсионного возраста на панельных данных РМЭЗ [</w:t>
      </w:r>
      <w:proofErr w:type="spellStart"/>
      <w:r>
        <w:t>Book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] // Сборник лучших выпускных работ - 2012. - </w:t>
      </w:r>
      <w:proofErr w:type="gramStart"/>
      <w:r>
        <w:t>Москва :</w:t>
      </w:r>
      <w:proofErr w:type="gramEnd"/>
      <w:r>
        <w:t xml:space="preserve"> Издательский дом НИУ ВШЭ, 2013.</w:t>
      </w:r>
    </w:p>
    <w:p w:rsidR="006A4B37" w:rsidRPr="006A4B37" w:rsidRDefault="006A4B37" w:rsidP="006A4B37">
      <w:pPr>
        <w:rPr>
          <w:lang w:val="en-US"/>
        </w:rPr>
      </w:pPr>
      <w:r>
        <w:lastRenderedPageBreak/>
        <w:t>Полтерович Виктор Проектирование реформ: как искать промежуточные институты (</w:t>
      </w:r>
      <w:proofErr w:type="spellStart"/>
      <w:r>
        <w:t>Reform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Interim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.) </w:t>
      </w:r>
      <w:r w:rsidRPr="00AF70C8">
        <w:rPr>
          <w:lang w:val="en-US"/>
        </w:rPr>
        <w:t>[</w:t>
      </w:r>
      <w:r>
        <w:t>Журнал</w:t>
      </w:r>
      <w:r w:rsidRPr="00AF70C8">
        <w:rPr>
          <w:lang w:val="en-US"/>
        </w:rPr>
        <w:t xml:space="preserve">] // Montenegrin Journal </w:t>
      </w:r>
      <w:proofErr w:type="gramStart"/>
      <w:r w:rsidRPr="00AF70C8">
        <w:rPr>
          <w:lang w:val="en-US"/>
        </w:rPr>
        <w:t>Of</w:t>
      </w:r>
      <w:proofErr w:type="gramEnd"/>
      <w:r w:rsidRPr="00AF70C8">
        <w:rPr>
          <w:lang w:val="en-US"/>
        </w:rPr>
        <w:t xml:space="preserve"> Economics Vol. 8, No 3, Special Issue 2. - [</w:t>
      </w:r>
      <w:r>
        <w:t>б</w:t>
      </w:r>
      <w:r w:rsidRPr="00AF70C8">
        <w:rPr>
          <w:lang w:val="en-US"/>
        </w:rPr>
        <w:t>.</w:t>
      </w:r>
      <w:r>
        <w:t>м</w:t>
      </w:r>
      <w:r w:rsidRPr="00AF70C8">
        <w:rPr>
          <w:lang w:val="en-US"/>
        </w:rPr>
        <w:t>.</w:t>
      </w:r>
      <w:proofErr w:type="gramStart"/>
      <w:r w:rsidRPr="00AF70C8">
        <w:rPr>
          <w:lang w:val="en-US"/>
        </w:rPr>
        <w:t>] :</w:t>
      </w:r>
      <w:proofErr w:type="gramEnd"/>
      <w:r w:rsidRPr="00AF70C8">
        <w:rPr>
          <w:lang w:val="en-US"/>
        </w:rPr>
        <w:t xml:space="preserve"> </w:t>
      </w:r>
      <w:proofErr w:type="spellStart"/>
      <w:r w:rsidRPr="00AF70C8">
        <w:rPr>
          <w:lang w:val="en-US"/>
        </w:rPr>
        <w:t>Citeseer</w:t>
      </w:r>
      <w:proofErr w:type="spellEnd"/>
      <w:r w:rsidRPr="00AF70C8">
        <w:rPr>
          <w:lang w:val="en-US"/>
        </w:rPr>
        <w:t xml:space="preserve">, 2012 </w:t>
      </w:r>
      <w:r>
        <w:t>г</w:t>
      </w:r>
      <w:r w:rsidRPr="00AF70C8">
        <w:rPr>
          <w:lang w:val="en-US"/>
        </w:rPr>
        <w:t xml:space="preserve">.. </w:t>
      </w:r>
      <w:r w:rsidRPr="006A4B37">
        <w:rPr>
          <w:lang w:val="en-US"/>
        </w:rPr>
        <w:t xml:space="preserve">- </w:t>
      </w:r>
      <w:proofErr w:type="spellStart"/>
      <w:r>
        <w:t>стр</w:t>
      </w:r>
      <w:proofErr w:type="spellEnd"/>
      <w:r w:rsidRPr="006A4B37">
        <w:rPr>
          <w:lang w:val="en-US"/>
        </w:rPr>
        <w:t>. 25.</w:t>
      </w:r>
    </w:p>
    <w:p w:rsidR="006A4B37" w:rsidRPr="006A4B37" w:rsidRDefault="006A4B37" w:rsidP="006A4B37">
      <w:pPr>
        <w:rPr>
          <w:lang w:val="en-US"/>
        </w:rPr>
      </w:pPr>
      <w:proofErr w:type="spellStart"/>
      <w:r w:rsidRPr="006A4B37">
        <w:rPr>
          <w:lang w:val="en-US"/>
        </w:rPr>
        <w:t>Gustman</w:t>
      </w:r>
      <w:proofErr w:type="spellEnd"/>
      <w:r w:rsidRPr="006A4B37">
        <w:rPr>
          <w:lang w:val="en-US"/>
        </w:rPr>
        <w:t xml:space="preserve"> Alan L. </w:t>
      </w:r>
      <w:r>
        <w:t>и</w:t>
      </w:r>
      <w:r w:rsidRPr="006A4B37">
        <w:rPr>
          <w:lang w:val="en-US"/>
        </w:rPr>
        <w:t xml:space="preserve"> Steinmeier Thomas L. A structural retirement model. - [</w:t>
      </w:r>
      <w:r>
        <w:t>б</w:t>
      </w:r>
      <w:r w:rsidRPr="006A4B37">
        <w:rPr>
          <w:lang w:val="en-US"/>
        </w:rPr>
        <w:t>.</w:t>
      </w:r>
      <w:r>
        <w:t>м</w:t>
      </w:r>
      <w:r w:rsidRPr="006A4B37">
        <w:rPr>
          <w:lang w:val="en-US"/>
        </w:rPr>
        <w:t>.</w:t>
      </w:r>
      <w:proofErr w:type="gramStart"/>
      <w:r w:rsidRPr="006A4B37">
        <w:rPr>
          <w:lang w:val="en-US"/>
        </w:rPr>
        <w:t>] :</w:t>
      </w:r>
      <w:proofErr w:type="gramEnd"/>
      <w:r w:rsidRPr="006A4B37">
        <w:rPr>
          <w:lang w:val="en-US"/>
        </w:rPr>
        <w:t xml:space="preserve"> National Bureau of Economic Research Cambridge, Mass., USA, 1986 </w:t>
      </w:r>
      <w:r>
        <w:t>г</w:t>
      </w:r>
      <w:r w:rsidRPr="006A4B37">
        <w:rPr>
          <w:lang w:val="en-US"/>
        </w:rPr>
        <w:t>..</w:t>
      </w:r>
    </w:p>
    <w:p w:rsidR="006A4B37" w:rsidRPr="006A4B37" w:rsidRDefault="006A4B37" w:rsidP="006A4B37">
      <w:pPr>
        <w:rPr>
          <w:lang w:val="en-US"/>
        </w:rPr>
      </w:pPr>
      <w:proofErr w:type="spellStart"/>
      <w:r w:rsidRPr="006A4B37">
        <w:rPr>
          <w:lang w:val="en-US"/>
        </w:rPr>
        <w:t>Naczyk</w:t>
      </w:r>
      <w:proofErr w:type="spellEnd"/>
      <w:r w:rsidRPr="006A4B37">
        <w:rPr>
          <w:lang w:val="en-US"/>
        </w:rPr>
        <w:t xml:space="preserve"> Marek </w:t>
      </w:r>
      <w:r>
        <w:t>и</w:t>
      </w:r>
      <w:r w:rsidRPr="006A4B37">
        <w:rPr>
          <w:lang w:val="en-US"/>
        </w:rPr>
        <w:t xml:space="preserve"> </w:t>
      </w:r>
      <w:proofErr w:type="spellStart"/>
      <w:r w:rsidRPr="006A4B37">
        <w:rPr>
          <w:lang w:val="en-US"/>
        </w:rPr>
        <w:t>Domonkos</w:t>
      </w:r>
      <w:proofErr w:type="spellEnd"/>
      <w:r w:rsidRPr="006A4B37">
        <w:rPr>
          <w:lang w:val="en-US"/>
        </w:rPr>
        <w:t xml:space="preserve"> Stefan The financial crisis and varieties of pension privatization reversals in Eastern Europe [</w:t>
      </w:r>
      <w:r>
        <w:t>Журнал</w:t>
      </w:r>
      <w:r w:rsidRPr="006A4B37">
        <w:rPr>
          <w:lang w:val="en-US"/>
        </w:rPr>
        <w:t>] // Governance. - [</w:t>
      </w:r>
      <w:r>
        <w:t>б</w:t>
      </w:r>
      <w:r w:rsidRPr="006A4B37">
        <w:rPr>
          <w:lang w:val="en-US"/>
        </w:rPr>
        <w:t>.</w:t>
      </w:r>
      <w:r>
        <w:t>м</w:t>
      </w:r>
      <w:r w:rsidRPr="006A4B37">
        <w:rPr>
          <w:lang w:val="en-US"/>
        </w:rPr>
        <w:t>.</w:t>
      </w:r>
      <w:proofErr w:type="gramStart"/>
      <w:r w:rsidRPr="006A4B37">
        <w:rPr>
          <w:lang w:val="en-US"/>
        </w:rPr>
        <w:t>] :</w:t>
      </w:r>
      <w:proofErr w:type="gramEnd"/>
      <w:r w:rsidRPr="006A4B37">
        <w:rPr>
          <w:lang w:val="en-US"/>
        </w:rPr>
        <w:t xml:space="preserve"> Wiley Online Library, 2015 </w:t>
      </w:r>
      <w:r>
        <w:t>г</w:t>
      </w:r>
      <w:r w:rsidRPr="006A4B37">
        <w:rPr>
          <w:lang w:val="en-US"/>
        </w:rPr>
        <w:t xml:space="preserve">.. - </w:t>
      </w:r>
      <w:r>
        <w:t>Т</w:t>
      </w:r>
      <w:r w:rsidRPr="006A4B37">
        <w:rPr>
          <w:lang w:val="en-US"/>
        </w:rPr>
        <w:t>. 29.</w:t>
      </w:r>
    </w:p>
    <w:p w:rsidR="006A4B37" w:rsidRPr="006A4B37" w:rsidRDefault="006A4B37" w:rsidP="006A4B37">
      <w:pPr>
        <w:rPr>
          <w:lang w:val="en-US"/>
        </w:rPr>
      </w:pPr>
      <w:proofErr w:type="spellStart"/>
      <w:r w:rsidRPr="006A4B37">
        <w:rPr>
          <w:lang w:val="en-US"/>
        </w:rPr>
        <w:t>Rofman</w:t>
      </w:r>
      <w:proofErr w:type="spellEnd"/>
      <w:r w:rsidRPr="006A4B37">
        <w:rPr>
          <w:lang w:val="en-US"/>
        </w:rPr>
        <w:t xml:space="preserve"> Rafael, </w:t>
      </w:r>
      <w:proofErr w:type="spellStart"/>
      <w:r w:rsidRPr="006A4B37">
        <w:rPr>
          <w:lang w:val="en-US"/>
        </w:rPr>
        <w:t>Apella</w:t>
      </w:r>
      <w:proofErr w:type="spellEnd"/>
      <w:r w:rsidRPr="006A4B37">
        <w:rPr>
          <w:lang w:val="en-US"/>
        </w:rPr>
        <w:t xml:space="preserve"> Ignacio </w:t>
      </w:r>
      <w:r>
        <w:t>и</w:t>
      </w:r>
      <w:r w:rsidRPr="006A4B37">
        <w:rPr>
          <w:lang w:val="en-US"/>
        </w:rPr>
        <w:t xml:space="preserve"> </w:t>
      </w:r>
      <w:proofErr w:type="spellStart"/>
      <w:r w:rsidRPr="006A4B37">
        <w:rPr>
          <w:lang w:val="en-US"/>
        </w:rPr>
        <w:t>Vezza</w:t>
      </w:r>
      <w:proofErr w:type="spellEnd"/>
      <w:r w:rsidRPr="006A4B37">
        <w:rPr>
          <w:lang w:val="en-US"/>
        </w:rPr>
        <w:t xml:space="preserve"> Evelyn Beyond Contributory Pensions: Fourteen Experiences with Coverage Expansion in Latin America [</w:t>
      </w:r>
      <w:r>
        <w:t>Книга</w:t>
      </w:r>
      <w:r w:rsidRPr="006A4B37">
        <w:rPr>
          <w:lang w:val="en-US"/>
        </w:rPr>
        <w:t>]. - [</w:t>
      </w:r>
      <w:r>
        <w:t>б</w:t>
      </w:r>
      <w:r w:rsidRPr="006A4B37">
        <w:rPr>
          <w:lang w:val="en-US"/>
        </w:rPr>
        <w:t>.</w:t>
      </w:r>
      <w:r>
        <w:t>м</w:t>
      </w:r>
      <w:r w:rsidRPr="006A4B37">
        <w:rPr>
          <w:lang w:val="en-US"/>
        </w:rPr>
        <w:t>.</w:t>
      </w:r>
      <w:proofErr w:type="gramStart"/>
      <w:r w:rsidRPr="006A4B37">
        <w:rPr>
          <w:lang w:val="en-US"/>
        </w:rPr>
        <w:t>] :</w:t>
      </w:r>
      <w:proofErr w:type="gramEnd"/>
      <w:r w:rsidRPr="006A4B37">
        <w:rPr>
          <w:lang w:val="en-US"/>
        </w:rPr>
        <w:t xml:space="preserve"> World Bank Publications, 2014.</w:t>
      </w:r>
    </w:p>
    <w:p w:rsidR="006A4B37" w:rsidRDefault="006A4B37" w:rsidP="006A4B37">
      <w:proofErr w:type="spellStart"/>
      <w:r w:rsidRPr="006A4B37">
        <w:rPr>
          <w:lang w:val="en-US"/>
        </w:rPr>
        <w:t>Strulik</w:t>
      </w:r>
      <w:proofErr w:type="spellEnd"/>
      <w:r w:rsidRPr="006A4B37">
        <w:rPr>
          <w:lang w:val="en-US"/>
        </w:rPr>
        <w:t xml:space="preserve"> Holger Patience and prosperity [</w:t>
      </w:r>
      <w:r>
        <w:t>Журнал</w:t>
      </w:r>
      <w:r w:rsidRPr="006A4B37">
        <w:rPr>
          <w:lang w:val="en-US"/>
        </w:rPr>
        <w:t>] // Journal of Economic Theory. - [</w:t>
      </w:r>
      <w:r>
        <w:t>б</w:t>
      </w:r>
      <w:r w:rsidRPr="006A4B37">
        <w:rPr>
          <w:lang w:val="en-US"/>
        </w:rPr>
        <w:t>.</w:t>
      </w:r>
      <w:r>
        <w:t>м</w:t>
      </w:r>
      <w:r w:rsidRPr="006A4B37">
        <w:rPr>
          <w:lang w:val="en-US"/>
        </w:rPr>
        <w:t>.</w:t>
      </w:r>
      <w:proofErr w:type="gramStart"/>
      <w:r w:rsidRPr="006A4B37">
        <w:rPr>
          <w:lang w:val="en-US"/>
        </w:rPr>
        <w:t>] :</w:t>
      </w:r>
      <w:proofErr w:type="gramEnd"/>
      <w:r w:rsidRPr="006A4B37">
        <w:rPr>
          <w:lang w:val="en-US"/>
        </w:rPr>
        <w:t xml:space="preserve"> Elsevier, 2012 </w:t>
      </w:r>
      <w:r>
        <w:t>г</w:t>
      </w:r>
      <w:r w:rsidRPr="006A4B37">
        <w:rPr>
          <w:lang w:val="en-US"/>
        </w:rPr>
        <w:t xml:space="preserve">.. </w:t>
      </w:r>
      <w:r>
        <w:t>- Т. 147. - стр. 336-352.</w:t>
      </w:r>
    </w:p>
    <w:p w:rsidR="006A4B37" w:rsidRPr="00563FF1" w:rsidRDefault="006A4B37"/>
    <w:sectPr w:rsidR="006A4B37" w:rsidRPr="00563FF1" w:rsidSect="0008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2"/>
    <w:rsid w:val="00022B61"/>
    <w:rsid w:val="000809F3"/>
    <w:rsid w:val="000A6C79"/>
    <w:rsid w:val="0013475F"/>
    <w:rsid w:val="002B08D3"/>
    <w:rsid w:val="002F46AC"/>
    <w:rsid w:val="00312295"/>
    <w:rsid w:val="003A17EE"/>
    <w:rsid w:val="003C3E48"/>
    <w:rsid w:val="00452671"/>
    <w:rsid w:val="004B4A58"/>
    <w:rsid w:val="00563FF1"/>
    <w:rsid w:val="005D5078"/>
    <w:rsid w:val="0063505E"/>
    <w:rsid w:val="00691BC0"/>
    <w:rsid w:val="006A0E7A"/>
    <w:rsid w:val="006A4B37"/>
    <w:rsid w:val="006C02E2"/>
    <w:rsid w:val="006E0755"/>
    <w:rsid w:val="006F41BF"/>
    <w:rsid w:val="007107A7"/>
    <w:rsid w:val="0071179F"/>
    <w:rsid w:val="007F070D"/>
    <w:rsid w:val="0081734F"/>
    <w:rsid w:val="008262EF"/>
    <w:rsid w:val="008B23F7"/>
    <w:rsid w:val="00B2287D"/>
    <w:rsid w:val="00BA3E25"/>
    <w:rsid w:val="00CA4B72"/>
    <w:rsid w:val="00E60062"/>
    <w:rsid w:val="00EC7C74"/>
    <w:rsid w:val="00EE0F45"/>
    <w:rsid w:val="00F0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FBA2F-D103-4344-AE19-5A6BB9E8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F3"/>
  </w:style>
  <w:style w:type="paragraph" w:styleId="1">
    <w:name w:val="heading 1"/>
    <w:basedOn w:val="a"/>
    <w:next w:val="a"/>
    <w:link w:val="10"/>
    <w:uiPriority w:val="9"/>
    <w:qFormat/>
    <w:rsid w:val="006A0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E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Bibliography"/>
    <w:basedOn w:val="a"/>
    <w:next w:val="a"/>
    <w:uiPriority w:val="37"/>
    <w:unhideWhenUsed/>
    <w:rsid w:val="006A0E7A"/>
  </w:style>
  <w:style w:type="character" w:customStyle="1" w:styleId="20">
    <w:name w:val="Заголовок 2 Знак"/>
    <w:basedOn w:val="a0"/>
    <w:link w:val="2"/>
    <w:uiPriority w:val="9"/>
    <w:semiHidden/>
    <w:rsid w:val="006F41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caption"/>
    <w:basedOn w:val="a"/>
    <w:next w:val="a"/>
    <w:uiPriority w:val="35"/>
    <w:unhideWhenUsed/>
    <w:qFormat/>
    <w:rsid w:val="006F41BF"/>
    <w:pPr>
      <w:spacing w:after="200" w:line="240" w:lineRule="auto"/>
      <w:ind w:firstLine="709"/>
      <w:jc w:val="both"/>
    </w:pPr>
    <w:rPr>
      <w:rFonts w:ascii="Times New Roman" w:hAnsi="Times New Roman" w:cs="Times New Roman"/>
      <w:b/>
      <w:iCs/>
      <w:sz w:val="24"/>
      <w:szCs w:val="18"/>
    </w:rPr>
  </w:style>
  <w:style w:type="table" w:styleId="a5">
    <w:name w:val="Table Grid"/>
    <w:basedOn w:val="a1"/>
    <w:uiPriority w:val="39"/>
    <w:rsid w:val="006F41BF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F41BF"/>
    <w:pPr>
      <w:overflowPunct w:val="0"/>
      <w:spacing w:after="140" w:line="288" w:lineRule="auto"/>
    </w:pPr>
    <w:rPr>
      <w:rFonts w:ascii="Times New Roman" w:eastAsia="Noto Sans CJK SC Regular" w:hAnsi="Times New Roman" w:cs="FreeSans"/>
      <w:color w:val="00000A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6F41BF"/>
    <w:rPr>
      <w:rFonts w:ascii="Times New Roman" w:eastAsia="Noto Sans CJK SC Regular" w:hAnsi="Times New Roman" w:cs="FreeSans"/>
      <w:color w:val="00000A"/>
      <w:sz w:val="24"/>
      <w:szCs w:val="24"/>
      <w:lang w:eastAsia="zh-CN" w:bidi="hi-IN"/>
    </w:rPr>
  </w:style>
  <w:style w:type="table" w:customStyle="1" w:styleId="21">
    <w:name w:val="Таблица простая 21"/>
    <w:basedOn w:val="a1"/>
    <w:uiPriority w:val="42"/>
    <w:rsid w:val="006F41BF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B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>
  <b:Source>
    <b:Year>2015</b:Year>
    <b:Volume>29</b:Volume>
    <b:BIBTEX_Entry>article</b:BIBTEX_Entry>
    <b:SourceType>JournalArticle</b:SourceType>
    <b:Title>The financial crisis and varieties of pension privatization reversals in Eastern Europe</b:Title>
    <b:Tag>naczyk2015financial</b:Tag>
    <b:Publisher>Wiley Online Library</b:Publisher>
    <b:Author>
      <b:Author>
        <b:NameList>
          <b:Person>
            <b:Last>Naczyk</b:Last>
            <b:First>Marek</b:First>
          </b:Person>
          <b:Person>
            <b:Last>Domonkos</b:Last>
            <b:First>Stefan</b:First>
          </b:Person>
        </b:NameList>
      </b:Author>
    </b:Author>
    <b:JournalName>Governance</b:JournalName>
    <b:Number>2</b:Number>
    <b:RefOrder>1</b:RefOrder>
  </b:Source>
  <b:Source>
    <b:Year>2012</b:Year>
    <b:BIBTEX_Entry>article</b:BIBTEX_Entry>
    <b:SourceType>JournalArticle</b:SourceType>
    <b:Title>Проектирование реформ: как искать промежуточные институты (Reform Design: How to Search for Interim Institutions)</b:Title>
    <b:Tag>polterovich2012proekt</b:Tag>
    <b:Publisher>Citeseer</b:Publisher>
    <b:Author>
      <b:Author>
        <b:NameList>
          <b:Person>
            <b:Last>Полтерович</b:Last>
            <b:First>Виктор</b:First>
          </b:Person>
        </b:NameList>
      </b:Author>
    </b:Author>
    <b:Pages>25</b:Pages>
    <b:JournalName>Montenegrin Journal Of Economics Vol. 8, No 3, Special Issue 2</b:JournalName>
    <b:RefOrder>2</b:RefOrder>
  </b:Source>
  <b:Source>
    <b:Tag>Бор07</b:Tag>
    <b:SourceType>JournalArticle</b:SourceType>
    <b:Guid>{7A2445EC-C851-4EB6-88D0-036F77E231C7}</b:Guid>
    <b:Title>Модель перекрывающихся поколений с двусторонним альтруизмом</b:Title>
    <b:Year>2007</b:Year>
    <b:City>Санкт-Петербург</b:City>
    <b:Publisher>Экономико-математические исследования: математические модели и информационные технологии</b:Publisher>
    <b:Volume>VI</b:Volume>
    <b:Author>
      <b:Author>
        <b:NameList>
          <b:Person>
            <b:Last>Борисов</b:Last>
            <b:Middle>Ю.</b:Middle>
            <b:First>К.</b:First>
          </b:Person>
          <b:Person>
            <b:Last>Сурков</b:Last>
            <b:Middle>В.</b:Middle>
            <b:First>А.</b:First>
          </b:Person>
        </b:NameList>
      </b:Author>
    </b:Author>
    <b:RefOrder>3</b:RefOrder>
  </b:Source>
  <b:Source>
    <b:Year>1986</b:Year>
    <b:BIBTEX_Entry>misc</b:BIBTEX_Entry>
    <b:SourceType>Misc</b:SourceType>
    <b:Title>A structural retirement model</b:Title>
    <b:Tag>gustman1986structural</b:Tag>
    <b:Publisher>National Bureau of Economic Research Cambridge, Mass., USA</b:Publisher>
    <b:Author>
      <b:Author>
        <b:NameList>
          <b:Person>
            <b:Last>Gustman</b:Last>
            <b:Middle>L.</b:Middle>
            <b:First>Alan</b:First>
          </b:Person>
          <b:Person>
            <b:Last>Steinmeier</b:Last>
            <b:Middle>L.</b:Middle>
            <b:First>Thomas</b:First>
          </b:Person>
        </b:NameList>
      </b:Author>
    </b:Author>
    <b:RefOrder>4</b:RefOrder>
  </b:Source>
  <b:Source>
    <b:LCID>ru-RU</b:LCID>
    <b:Year>2012</b:Year>
    <b:BIBTEX_Entry>article</b:BIBTEX_Entry>
    <b:SourceType>JournalArticle</b:SourceType>
    <b:Title>Микроанализ российской пенсионной системы</b:Title>
    <b:Tag>gurvitch2012micro</b:Tag>
    <b:Author>
      <b:Author>
        <b:NameList>
          <b:Person>
            <b:Last>Гурвич</b:Last>
            <b:First>Е.</b:First>
          </b:Person>
          <b:Person>
            <b:Last>Сонина</b:Last>
            <b:First>Ю.</b:First>
          </b:Person>
        </b:NameList>
      </b:Author>
    </b:Author>
    <b:Pages>27-51</b:Pages>
    <b:JournalName>Вопросы экономики</b:JournalName>
    <b:Number>2</b:Number>
    <b:Guid>{3B7023EF-B3AC-4D2D-A8E7-804234EC12EB}</b:Guid>
    <b:RefOrder>5</b:RefOrder>
  </b:Source>
  <b:Source>
    <b:LCID>en-US</b:LCID>
    <b:Year>2013</b:Year>
    <b:BIBTEX_Entry>incollection</b:BIBTEX_Entry>
    <b:SourceType>BookSection</b:SourceType>
    <b:Title>Моделирование предложения труда российских граждан пенсионного возраста на панельных данных РМЭЗ</b:Title>
    <b:Tag>klepikova2012modelirovanie</b:Tag>
    <b:Publisher>Издательский дом НИУ ВШЭ</b:Publisher>
    <b:BookTitle>Сборник лучших выпускных работ - 2012</b:BookTitle>
    <b:Author>
      <b:Author>
        <b:NameList>
          <b:Person>
            <b:Last>Клепикова</b:Last>
            <b:Middle>А.</b:Middle>
            <b:First>Е.</b:First>
          </b:Person>
        </b:NameList>
      </b:Author>
    </b:Author>
    <b:Pages>365-395</b:Pages>
    <b:ConferenceName>Сборник лучших выпускных работ - 2012</b:ConferenceName>
    <b:City>Москва</b:City>
    <b:RefOrder>6</b:RefOrder>
  </b:Source>
  <b:Source>
    <b:Year>2012</b:Year>
    <b:Volume>147</b:Volume>
    <b:BIBTEX_Entry>article</b:BIBTEX_Entry>
    <b:SourceType>JournalArticle</b:SourceType>
    <b:Title>Patience and prosperity</b:Title>
    <b:Tag>strulik2012patience</b:Tag>
    <b:Publisher>Elsevier</b:Publisher>
    <b:Author>
      <b:Author>
        <b:NameList>
          <b:Person>
            <b:Last>Strulik</b:Last>
            <b:First>Holger</b:First>
          </b:Person>
        </b:NameList>
      </b:Author>
    </b:Author>
    <b:Pages>336-352</b:Pages>
    <b:JournalName>Journal of Economic Theory</b:JournalName>
    <b:Number>1</b:Number>
    <b:RefOrder>7</b:RefOrder>
  </b:Source>
  <b:Source>
    <b:Year>2014</b:Year>
    <b:BIBTEX_Entry>book</b:BIBTEX_Entry>
    <b:SourceType>Book</b:SourceType>
    <b:Title>Beyond Contributory Pensions: Fourteen Experiences with Coverage Expansion in Latin America</b:Title>
    <b:Tag>rofman2014beyond</b:Tag>
    <b:Publisher>World Bank Publications</b:Publisher>
    <b:Author>
      <b:Author>
        <b:NameList>
          <b:Person>
            <b:Last>Rofman</b:Last>
            <b:First>Rafael</b:First>
          </b:Person>
          <b:Person>
            <b:Last>Apella</b:Last>
            <b:First>Ignacio</b:First>
          </b:Person>
          <b:Person>
            <b:Last>Vezza</b:Last>
            <b:First>Evelyn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16DCCE80-0D8F-451B-96EE-E8BC6B26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Экономист</cp:lastModifiedBy>
  <cp:revision>2</cp:revision>
  <dcterms:created xsi:type="dcterms:W3CDTF">2019-04-12T10:02:00Z</dcterms:created>
  <dcterms:modified xsi:type="dcterms:W3CDTF">2019-04-12T10:02:00Z</dcterms:modified>
</cp:coreProperties>
</file>